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0A5" w:rsidRDefault="00CA100B">
      <w:pPr>
        <w:spacing w:after="0"/>
        <w:jc w:val="right"/>
      </w:pPr>
      <w:r>
        <w:rPr>
          <w:rFonts w:ascii="Lato Black"/>
          <w:b/>
        </w:rPr>
        <w:t>MSBA Core Manual</w:t>
      </w:r>
    </w:p>
    <w:p w:rsidR="003730A5" w:rsidRDefault="00CA100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3730A5">
        <w:tblPrEx>
          <w:tblCellMar>
            <w:bottom w:w="0" w:type="dxa"/>
          </w:tblCellMar>
        </w:tblPrEx>
        <w:tc>
          <w:tcPr>
            <w:tcW w:w="0" w:type="auto"/>
            <w:shd w:val="clear" w:color="auto" w:fill="EFEFEF"/>
          </w:tcPr>
          <w:p w:rsidR="003730A5" w:rsidRDefault="00CA100B">
            <w:pPr>
              <w:spacing w:after="0"/>
            </w:pPr>
            <w:r>
              <w:rPr>
                <w:rFonts w:ascii="Lato Black"/>
                <w:b/>
              </w:rPr>
              <w:t>Policy GB-1: PART-TIME AND SUBSTITUTE EMPLOYMENT</w:t>
            </w:r>
          </w:p>
        </w:tc>
        <w:tc>
          <w:tcPr>
            <w:tcW w:w="1000" w:type="pct"/>
            <w:shd w:val="clear" w:color="auto" w:fill="EFEFEF"/>
          </w:tcPr>
          <w:p w:rsidR="003730A5" w:rsidRDefault="00CA100B">
            <w:r>
              <w:rPr>
                <w:rFonts w:ascii="Lato Black"/>
                <w:b/>
              </w:rPr>
              <w:t xml:space="preserve">Status: </w:t>
            </w:r>
            <w:r>
              <w:rPr>
                <w:rFonts w:ascii="Lato"/>
              </w:rPr>
              <w:t>ADOPTED</w:t>
            </w:r>
          </w:p>
        </w:tc>
      </w:tr>
      <w:tr w:rsidR="003730A5">
        <w:tblPrEx>
          <w:tblCellMar>
            <w:bottom w:w="0" w:type="dxa"/>
          </w:tblCellMar>
        </w:tblPrEx>
        <w:tc>
          <w:tcPr>
            <w:tcW w:w="0" w:type="auto"/>
            <w:shd w:val="clear" w:color="auto" w:fill="EFEFEF"/>
          </w:tcPr>
          <w:p w:rsidR="003730A5" w:rsidRDefault="00CA100B">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3730A5" w:rsidRDefault="003730A5">
            <w:pPr>
              <w:spacing w:after="0"/>
            </w:pPr>
          </w:p>
        </w:tc>
      </w:tr>
    </w:tbl>
    <w:p w:rsidR="003730A5" w:rsidRDefault="003730A5">
      <w:pPr>
        <w:spacing w:after="30"/>
        <w:jc w:val="right"/>
      </w:pPr>
    </w:p>
    <w:p w:rsidR="00000000" w:rsidRDefault="00CA100B">
      <w:pPr>
        <w:divId w:val="1500924134"/>
        <w:rPr>
          <w:rFonts w:ascii="Lato" w:eastAsia="Times New Roman" w:hAnsi="Lato"/>
        </w:rPr>
      </w:pPr>
      <w:r>
        <w:rPr>
          <w:rFonts w:ascii="Lato" w:eastAsia="Times New Roman" w:hAnsi="Lato"/>
        </w:rPr>
        <w:t>The district may employ part-time employees and employees who will work on a substitute basis in the district. These employees must meet the same qualifications as full-time staff, must be appropriately certified or licensed when necessary, and are subject</w:t>
      </w:r>
      <w:r>
        <w:rPr>
          <w:rFonts w:ascii="Lato" w:eastAsia="Times New Roman" w:hAnsi="Lato"/>
        </w:rPr>
        <w:t xml:space="preserve"> to the same policies, procedures, and other rules as full-time employees. Part-time and substitute employees must satisfactorily complete the same background checks and screenings required of full-time employees. </w:t>
      </w:r>
    </w:p>
    <w:p w:rsidR="00000000" w:rsidRDefault="00CA100B">
      <w:pPr>
        <w:pStyle w:val="Heading3"/>
        <w:divId w:val="1500924134"/>
        <w:rPr>
          <w:rFonts w:ascii="Lato" w:eastAsia="Times New Roman" w:hAnsi="Lato"/>
        </w:rPr>
      </w:pPr>
      <w:r>
        <w:rPr>
          <w:rFonts w:ascii="Lato" w:eastAsia="Times New Roman" w:hAnsi="Lato"/>
        </w:rPr>
        <w:t>Substitute Employees</w:t>
      </w:r>
    </w:p>
    <w:p w:rsidR="00000000" w:rsidRDefault="00CA100B">
      <w:pPr>
        <w:divId w:val="1500924134"/>
        <w:rPr>
          <w:rFonts w:ascii="Lato" w:eastAsia="Times New Roman" w:hAnsi="Lato"/>
        </w:rPr>
      </w:pPr>
      <w:r>
        <w:rPr>
          <w:rFonts w:ascii="Lato" w:eastAsia="Times New Roman" w:hAnsi="Lato"/>
        </w:rPr>
        <w:br/>
        <w:t xml:space="preserve">In accordance with </w:t>
      </w:r>
      <w:r>
        <w:rPr>
          <w:rFonts w:ascii="Lato" w:eastAsia="Times New Roman" w:hAnsi="Lato"/>
        </w:rPr>
        <w:t>law, a majority of the whole board must approve the employment of all employees, which includes substitute employees. The superintendent will present an initial list of substitute employees to the board for approval. If substitute employees are added to or</w:t>
      </w:r>
      <w:r>
        <w:rPr>
          <w:rFonts w:ascii="Lato" w:eastAsia="Times New Roman" w:hAnsi="Lato"/>
        </w:rPr>
        <w:t xml:space="preserve"> removed from the list, the superintendent will submit the revised list or the individual changes to the board for approval.</w:t>
      </w:r>
      <w:r>
        <w:rPr>
          <w:rFonts w:ascii="Lato" w:eastAsia="Times New Roman" w:hAnsi="Lato"/>
        </w:rPr>
        <w:br/>
      </w:r>
      <w:r>
        <w:rPr>
          <w:rFonts w:ascii="Lato" w:eastAsia="Times New Roman" w:hAnsi="Lato"/>
        </w:rPr>
        <w:br/>
        <w:t xml:space="preserve">The district will provide all substitute teachers access to a state survey that they are required to complete, in accordance with </w:t>
      </w:r>
      <w:r>
        <w:rPr>
          <w:rFonts w:ascii="Lato" w:eastAsia="Times New Roman" w:hAnsi="Lato"/>
        </w:rPr>
        <w:t xml:space="preserve">law. Substitute teachers under the age of 20 will not teach in grades 9 through 12. </w:t>
      </w:r>
    </w:p>
    <w:p w:rsidR="00000000" w:rsidRDefault="00CA100B">
      <w:pPr>
        <w:pStyle w:val="Heading3"/>
        <w:divId w:val="1500924134"/>
        <w:rPr>
          <w:rFonts w:ascii="Lato" w:eastAsia="Times New Roman" w:hAnsi="Lato"/>
        </w:rPr>
      </w:pPr>
      <w:r>
        <w:rPr>
          <w:rFonts w:ascii="Lato" w:eastAsia="Times New Roman" w:hAnsi="Lato"/>
        </w:rPr>
        <w:t>Part-Time Employees</w:t>
      </w:r>
    </w:p>
    <w:p w:rsidR="00000000" w:rsidRDefault="00CA100B">
      <w:pPr>
        <w:divId w:val="1500924134"/>
        <w:rPr>
          <w:rFonts w:ascii="Lato" w:eastAsia="Times New Roman" w:hAnsi="Lato"/>
        </w:rPr>
      </w:pPr>
      <w:r>
        <w:rPr>
          <w:rFonts w:ascii="Lato" w:eastAsia="Times New Roman" w:hAnsi="Lato"/>
        </w:rPr>
        <w:br/>
        <w:t xml:space="preserve">The superintendent or designee may create part-time employment positions in situations where the district will benefit from employing part-time staff </w:t>
      </w:r>
      <w:r>
        <w:rPr>
          <w:rFonts w:ascii="Lato" w:eastAsia="Times New Roman" w:hAnsi="Lato"/>
        </w:rPr>
        <w:t xml:space="preserve">or where full-time staff are not necessary to accomplish the district's goals. The district will employ persons in part-time positions in accordance with the district's regular hiring practices and board policy. </w:t>
      </w:r>
    </w:p>
    <w:p w:rsidR="00000000" w:rsidRDefault="00CA100B">
      <w:pPr>
        <w:pStyle w:val="Heading3"/>
        <w:divId w:val="1500924134"/>
        <w:rPr>
          <w:rFonts w:ascii="Lato" w:eastAsia="Times New Roman" w:hAnsi="Lato"/>
        </w:rPr>
      </w:pPr>
      <w:r>
        <w:rPr>
          <w:rFonts w:ascii="Lato" w:eastAsia="Times New Roman" w:hAnsi="Lato"/>
        </w:rPr>
        <w:t>Job Sharing</w:t>
      </w:r>
    </w:p>
    <w:p w:rsidR="00000000" w:rsidRDefault="00CA100B">
      <w:pPr>
        <w:divId w:val="1500924134"/>
        <w:rPr>
          <w:rFonts w:ascii="Lato" w:eastAsia="Times New Roman" w:hAnsi="Lato"/>
        </w:rPr>
      </w:pPr>
      <w:r>
        <w:rPr>
          <w:rFonts w:ascii="Lato" w:eastAsia="Times New Roman" w:hAnsi="Lato"/>
        </w:rPr>
        <w:br/>
        <w:t>The district may employ classr</w:t>
      </w:r>
      <w:r>
        <w:rPr>
          <w:rFonts w:ascii="Lato" w:eastAsia="Times New Roman" w:hAnsi="Lato"/>
        </w:rPr>
        <w:t>oom teachers through a job-sharing arrangement in accordance with law. Classroom teachers in a job-sharing position shall receive paid legal holidays and paid leave applicable to all classroom teachers on a pro rata basis.</w:t>
      </w:r>
      <w:r>
        <w:rPr>
          <w:rFonts w:ascii="Lato" w:eastAsia="Times New Roman" w:hAnsi="Lato"/>
        </w:rPr>
        <w:br/>
      </w:r>
      <w:r>
        <w:rPr>
          <w:rFonts w:ascii="Lato" w:eastAsia="Times New Roman" w:hAnsi="Lato"/>
        </w:rPr>
        <w:br/>
        <w:t>A job-sharing position shall mea</w:t>
      </w:r>
      <w:r>
        <w:rPr>
          <w:rFonts w:ascii="Lato" w:eastAsia="Times New Roman" w:hAnsi="Lato"/>
        </w:rPr>
        <w:t>n any position that is shared with one other employee, requires employment of at least 17 and no more than 20 hours per week on a regular basis, and requires at least 70 percent of all time spent in classroom instruction. Instructional support or school se</w:t>
      </w:r>
      <w:r>
        <w:rPr>
          <w:rFonts w:ascii="Lato" w:eastAsia="Times New Roman" w:hAnsi="Lato"/>
        </w:rPr>
        <w:t>rvices positions (such as school counselors, media coordinators, psychologists, social workers, audiologists, speech-language pathologists, and nursing positions) are not eligible for job sharing under state law but may still be employed on a part-time bas</w:t>
      </w:r>
      <w:r>
        <w:rPr>
          <w:rFonts w:ascii="Lato" w:eastAsia="Times New Roman" w:hAnsi="Lato"/>
        </w:rPr>
        <w:t xml:space="preserve">is. </w:t>
      </w:r>
    </w:p>
    <w:p w:rsidR="00000000" w:rsidRDefault="00CA100B">
      <w:pPr>
        <w:pStyle w:val="Heading3"/>
        <w:divId w:val="1500924134"/>
        <w:rPr>
          <w:rFonts w:ascii="Lato" w:eastAsia="Times New Roman" w:hAnsi="Lato"/>
        </w:rPr>
      </w:pPr>
      <w:r>
        <w:rPr>
          <w:rFonts w:ascii="Lato" w:eastAsia="Times New Roman" w:hAnsi="Lato"/>
        </w:rPr>
        <w:t>Employing Retirees</w:t>
      </w:r>
    </w:p>
    <w:p w:rsidR="00000000" w:rsidRDefault="00CA100B">
      <w:pPr>
        <w:divId w:val="1500924134"/>
        <w:rPr>
          <w:rFonts w:ascii="Lato" w:eastAsia="Times New Roman" w:hAnsi="Lato"/>
        </w:rPr>
      </w:pPr>
      <w:r>
        <w:rPr>
          <w:rFonts w:ascii="Lato" w:eastAsia="Times New Roman" w:hAnsi="Lato"/>
        </w:rPr>
        <w:br/>
        <w:t xml:space="preserve">The district may employ persons retired and currently receiving a retirement allowance from a public retirement system, but the district shall consult with that public retirement system before hiring one of their beneficiaries. </w:t>
      </w:r>
    </w:p>
    <w:p w:rsidR="00000000" w:rsidRDefault="00CA100B">
      <w:pPr>
        <w:pStyle w:val="Heading3"/>
        <w:divId w:val="1500924134"/>
        <w:rPr>
          <w:rFonts w:ascii="Lato" w:eastAsia="Times New Roman" w:hAnsi="Lato"/>
        </w:rPr>
      </w:pPr>
      <w:r>
        <w:rPr>
          <w:rFonts w:ascii="Lato" w:eastAsia="Times New Roman" w:hAnsi="Lato"/>
        </w:rPr>
        <w:lastRenderedPageBreak/>
        <w:t>Co</w:t>
      </w:r>
      <w:r>
        <w:rPr>
          <w:rFonts w:ascii="Lato" w:eastAsia="Times New Roman" w:hAnsi="Lato"/>
        </w:rPr>
        <w:t>ntracts</w:t>
      </w:r>
    </w:p>
    <w:p w:rsidR="00000000" w:rsidRDefault="00CA100B">
      <w:pPr>
        <w:divId w:val="1500924134"/>
        <w:rPr>
          <w:rFonts w:ascii="Lato" w:eastAsia="Times New Roman" w:hAnsi="Lato"/>
        </w:rPr>
      </w:pPr>
      <w:r>
        <w:rPr>
          <w:rFonts w:ascii="Lato" w:eastAsia="Times New Roman" w:hAnsi="Lato"/>
        </w:rPr>
        <w:br/>
        <w:t xml:space="preserve">The contracts of all teachers employed on a regular, part-time basis must explicitly state the percentage of full-time equivalent (FTE) work for which they </w:t>
      </w:r>
      <w:proofErr w:type="gramStart"/>
      <w:r>
        <w:rPr>
          <w:rFonts w:ascii="Lato" w:eastAsia="Times New Roman" w:hAnsi="Lato"/>
        </w:rPr>
        <w:t>are contracted</w:t>
      </w:r>
      <w:proofErr w:type="gramEnd"/>
      <w:r>
        <w:rPr>
          <w:rFonts w:ascii="Lato" w:eastAsia="Times New Roman" w:hAnsi="Lato"/>
        </w:rPr>
        <w:t xml:space="preserve"> so that the district may accurately calculate the accumulation of tenure.</w:t>
      </w:r>
      <w:r>
        <w:rPr>
          <w:rFonts w:ascii="Lato" w:eastAsia="Times New Roman" w:hAnsi="Lato"/>
        </w:rPr>
        <w:br/>
      </w:r>
      <w:r>
        <w:rPr>
          <w:rFonts w:ascii="Lato" w:eastAsia="Times New Roman" w:hAnsi="Lato"/>
        </w:rPr>
        <w:br/>
      </w:r>
      <w:r>
        <w:rPr>
          <w:rFonts w:ascii="Lato" w:eastAsia="Times New Roman" w:hAnsi="Lato"/>
          <w:sz w:val="17"/>
          <w:szCs w:val="17"/>
        </w:rPr>
        <w:t>©</w:t>
      </w:r>
      <w:r>
        <w:rPr>
          <w:rFonts w:ascii="Lato" w:eastAsia="Times New Roman" w:hAnsi="Lato"/>
          <w:sz w:val="17"/>
          <w:szCs w:val="17"/>
        </w:rPr>
        <w:t xml:space="preserve"> 2024, Missouri School Boards' Association</w:t>
      </w:r>
      <w:r>
        <w:rPr>
          <w:rFonts w:ascii="Lato" w:eastAsia="Times New Roman" w:hAnsi="Lato"/>
          <w:sz w:val="17"/>
          <w:szCs w:val="17"/>
        </w:rPr>
        <w:br/>
        <w:t>Version GB-1C.1C (07/24)</w:t>
      </w:r>
      <w:r>
        <w:rPr>
          <w:rFonts w:ascii="Lato" w:eastAsia="Times New Roman" w:hAnsi="Lato"/>
        </w:rPr>
        <w:t xml:space="preserve"> </w:t>
      </w:r>
    </w:p>
    <w:p w:rsidR="003730A5" w:rsidRDefault="003730A5">
      <w:pPr>
        <w:pBdr>
          <w:bottom w:val="single" w:sz="5" w:space="1" w:color="auto"/>
        </w:pBdr>
      </w:pPr>
    </w:p>
    <w:p w:rsidR="00000000" w:rsidRDefault="00CA100B">
      <w:pPr>
        <w:divId w:val="1149637746"/>
        <w:rPr>
          <w:rFonts w:ascii="Lato" w:eastAsia="Times New Roman" w:hAnsi="Lato"/>
        </w:rPr>
      </w:pPr>
      <w:r>
        <w:rPr>
          <w:rFonts w:ascii="Lato" w:eastAsia="Times New Roman" w:hAnsi="Lato"/>
        </w:rPr>
        <w:t> </w:t>
      </w:r>
    </w:p>
    <w:p w:rsidR="00000000" w:rsidRDefault="00CA100B">
      <w:pPr>
        <w:pStyle w:val="Heading2"/>
        <w:shd w:val="clear" w:color="auto" w:fill="FFFFFF"/>
        <w:spacing w:before="0" w:beforeAutospacing="0" w:after="0" w:afterAutospacing="0"/>
        <w:textAlignment w:val="baseline"/>
        <w:divId w:val="285818988"/>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CA100B">
      <w:pPr>
        <w:divId w:val="285818988"/>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3730A5">
        <w:tblPrEx>
          <w:tblCellMar>
            <w:top w:w="0" w:type="dxa"/>
            <w:bottom w:w="0" w:type="dxa"/>
          </w:tblCellMar>
        </w:tblPrEx>
        <w:tc>
          <w:tcPr>
            <w:tcW w:w="4017" w:type="dxa"/>
          </w:tcPr>
          <w:p w:rsidR="003730A5" w:rsidRDefault="00CA100B">
            <w:pPr>
              <w:spacing w:after="0"/>
            </w:pPr>
            <w:r>
              <w:rPr>
                <w:rFonts w:ascii="Lato Black"/>
                <w:b/>
              </w:rPr>
              <w:t>State</w:t>
            </w:r>
          </w:p>
        </w:tc>
        <w:tc>
          <w:tcPr>
            <w:tcW w:w="5961" w:type="dxa"/>
          </w:tcPr>
          <w:p w:rsidR="003730A5" w:rsidRDefault="00CA100B">
            <w:pPr>
              <w:spacing w:after="0"/>
            </w:pPr>
            <w:r>
              <w:rPr>
                <w:rFonts w:ascii="Lato Black"/>
                <w:b/>
              </w:rPr>
              <w:t>Description</w:t>
            </w:r>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162.301, </w:t>
            </w:r>
            <w:proofErr w:type="spellStart"/>
            <w:r>
              <w:rPr>
                <w:rFonts w:ascii="Lato"/>
              </w:rPr>
              <w:t>RSMo</w:t>
            </w:r>
            <w:proofErr w:type="spellEnd"/>
            <w:r>
              <w:rPr>
                <w:rFonts w:ascii="Lato"/>
              </w:rPr>
              <w:t>.</w:t>
            </w:r>
          </w:p>
        </w:tc>
        <w:tc>
          <w:tcPr>
            <w:tcW w:w="5961" w:type="dxa"/>
          </w:tcPr>
          <w:p w:rsidR="003730A5" w:rsidRDefault="00CA100B">
            <w:hyperlink r:id="rId4"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162.322, </w:t>
            </w:r>
            <w:proofErr w:type="spellStart"/>
            <w:r>
              <w:rPr>
                <w:rFonts w:ascii="Lato"/>
              </w:rPr>
              <w:t>RSMo</w:t>
            </w:r>
            <w:proofErr w:type="spellEnd"/>
            <w:r>
              <w:rPr>
                <w:rFonts w:ascii="Lato"/>
              </w:rPr>
              <w:t>.</w:t>
            </w:r>
          </w:p>
        </w:tc>
        <w:tc>
          <w:tcPr>
            <w:tcW w:w="5961" w:type="dxa"/>
          </w:tcPr>
          <w:p w:rsidR="003730A5" w:rsidRDefault="00CA100B">
            <w:hyperlink r:id="rId5"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w:t>
            </w:r>
            <w:r>
              <w:rPr>
                <w:rFonts w:ascii="Lato"/>
              </w:rPr>
              <w:t xml:space="preserve">162.324, </w:t>
            </w:r>
            <w:proofErr w:type="spellStart"/>
            <w:r>
              <w:rPr>
                <w:rFonts w:ascii="Lato"/>
              </w:rPr>
              <w:t>RSMo</w:t>
            </w:r>
            <w:proofErr w:type="spellEnd"/>
            <w:r>
              <w:rPr>
                <w:rFonts w:ascii="Lato"/>
              </w:rPr>
              <w:t>.</w:t>
            </w:r>
          </w:p>
        </w:tc>
        <w:tc>
          <w:tcPr>
            <w:tcW w:w="5961" w:type="dxa"/>
          </w:tcPr>
          <w:p w:rsidR="003730A5" w:rsidRDefault="00CA100B">
            <w:hyperlink r:id="rId6"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162.331, </w:t>
            </w:r>
            <w:proofErr w:type="spellStart"/>
            <w:r>
              <w:rPr>
                <w:rFonts w:ascii="Lato"/>
              </w:rPr>
              <w:t>RSMo</w:t>
            </w:r>
            <w:proofErr w:type="spellEnd"/>
            <w:r>
              <w:rPr>
                <w:rFonts w:ascii="Lato"/>
              </w:rPr>
              <w:t>.</w:t>
            </w:r>
          </w:p>
        </w:tc>
        <w:tc>
          <w:tcPr>
            <w:tcW w:w="5961" w:type="dxa"/>
          </w:tcPr>
          <w:p w:rsidR="003730A5" w:rsidRDefault="00CA100B">
            <w:hyperlink r:id="rId7" w:docLocation="https://revisor.mo.gov/main/Home.aspx">
              <w:r>
                <w:rPr>
                  <w:rFonts w:ascii="Lato"/>
                  <w:color w:val="0563C1" w:themeColor="hyperlink"/>
                  <w:u w:val="single"/>
                </w:rPr>
                <w:t>State Sta</w:t>
              </w:r>
              <w:r>
                <w:rPr>
                  <w:rFonts w:ascii="Lato"/>
                  <w:color w:val="0563C1" w:themeColor="hyperlink"/>
                  <w:u w:val="single"/>
                </w:rPr>
                <w:t>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162.475, </w:t>
            </w:r>
            <w:proofErr w:type="spellStart"/>
            <w:r>
              <w:rPr>
                <w:rFonts w:ascii="Lato"/>
              </w:rPr>
              <w:t>RSMo</w:t>
            </w:r>
            <w:proofErr w:type="spellEnd"/>
            <w:r>
              <w:rPr>
                <w:rFonts w:ascii="Lato"/>
              </w:rPr>
              <w:t>.</w:t>
            </w:r>
          </w:p>
        </w:tc>
        <w:tc>
          <w:tcPr>
            <w:tcW w:w="5961" w:type="dxa"/>
          </w:tcPr>
          <w:p w:rsidR="003730A5" w:rsidRDefault="00CA100B">
            <w:hyperlink r:id="rId8"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162.561, </w:t>
            </w:r>
            <w:proofErr w:type="spellStart"/>
            <w:r>
              <w:rPr>
                <w:rFonts w:ascii="Lato"/>
              </w:rPr>
              <w:t>RSMo</w:t>
            </w:r>
            <w:proofErr w:type="spellEnd"/>
            <w:r>
              <w:rPr>
                <w:rFonts w:ascii="Lato"/>
              </w:rPr>
              <w:t>.</w:t>
            </w:r>
          </w:p>
        </w:tc>
        <w:tc>
          <w:tcPr>
            <w:tcW w:w="5961" w:type="dxa"/>
          </w:tcPr>
          <w:p w:rsidR="003730A5" w:rsidRDefault="00CA100B">
            <w:hyperlink r:id="rId9" w:docLocation="https://revisor.mo.gov/main/Home.aspx">
              <w:r>
                <w:rPr>
                  <w:rFonts w:ascii="Lato"/>
                  <w:color w:val="0563C1" w:themeColor="hyperlink"/>
                  <w:u w:val="single"/>
                </w:rPr>
                <w:t>S</w:t>
              </w:r>
              <w:r>
                <w:rPr>
                  <w:rFonts w:ascii="Lato"/>
                  <w:color w:val="0563C1" w:themeColor="hyperlink"/>
                  <w:u w:val="single"/>
                </w:rPr>
                <w:t>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168.037, </w:t>
            </w:r>
            <w:proofErr w:type="spellStart"/>
            <w:r>
              <w:rPr>
                <w:rFonts w:ascii="Lato"/>
              </w:rPr>
              <w:t>RSMo</w:t>
            </w:r>
            <w:proofErr w:type="spellEnd"/>
            <w:r>
              <w:rPr>
                <w:rFonts w:ascii="Lato"/>
              </w:rPr>
              <w:t>.</w:t>
            </w:r>
          </w:p>
        </w:tc>
        <w:tc>
          <w:tcPr>
            <w:tcW w:w="5961" w:type="dxa"/>
          </w:tcPr>
          <w:p w:rsidR="003730A5" w:rsidRDefault="00CA100B">
            <w:hyperlink r:id="rId10"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168.101, </w:t>
            </w:r>
            <w:proofErr w:type="spellStart"/>
            <w:r>
              <w:rPr>
                <w:rFonts w:ascii="Lato"/>
              </w:rPr>
              <w:t>RSMo</w:t>
            </w:r>
            <w:proofErr w:type="spellEnd"/>
            <w:r>
              <w:rPr>
                <w:rFonts w:ascii="Lato"/>
              </w:rPr>
              <w:t>.</w:t>
            </w:r>
          </w:p>
        </w:tc>
        <w:tc>
          <w:tcPr>
            <w:tcW w:w="5961" w:type="dxa"/>
          </w:tcPr>
          <w:p w:rsidR="003730A5" w:rsidRDefault="00CA100B">
            <w:hyperlink r:id="rId11"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168.130, </w:t>
            </w:r>
            <w:proofErr w:type="spellStart"/>
            <w:r>
              <w:rPr>
                <w:rFonts w:ascii="Lato"/>
              </w:rPr>
              <w:t>RSMo</w:t>
            </w:r>
            <w:proofErr w:type="spellEnd"/>
            <w:r>
              <w:rPr>
                <w:rFonts w:ascii="Lato"/>
              </w:rPr>
              <w:t>.</w:t>
            </w:r>
          </w:p>
        </w:tc>
        <w:tc>
          <w:tcPr>
            <w:tcW w:w="5961" w:type="dxa"/>
          </w:tcPr>
          <w:p w:rsidR="003730A5" w:rsidRDefault="00CA100B">
            <w:hyperlink r:id="rId12"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168.303, </w:t>
            </w:r>
            <w:proofErr w:type="spellStart"/>
            <w:r>
              <w:rPr>
                <w:rFonts w:ascii="Lato"/>
              </w:rPr>
              <w:t>RSMo</w:t>
            </w:r>
            <w:proofErr w:type="spellEnd"/>
            <w:r>
              <w:rPr>
                <w:rFonts w:ascii="Lato"/>
              </w:rPr>
              <w:t>.</w:t>
            </w:r>
          </w:p>
        </w:tc>
        <w:tc>
          <w:tcPr>
            <w:tcW w:w="5961" w:type="dxa"/>
          </w:tcPr>
          <w:p w:rsidR="003730A5" w:rsidRDefault="00CA100B">
            <w:hyperlink r:id="rId13"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169.560, </w:t>
            </w:r>
            <w:proofErr w:type="spellStart"/>
            <w:r>
              <w:rPr>
                <w:rFonts w:ascii="Lato"/>
              </w:rPr>
              <w:t>RSMo</w:t>
            </w:r>
            <w:proofErr w:type="spellEnd"/>
            <w:r>
              <w:rPr>
                <w:rFonts w:ascii="Lato"/>
              </w:rPr>
              <w:t>.</w:t>
            </w:r>
          </w:p>
        </w:tc>
        <w:tc>
          <w:tcPr>
            <w:tcW w:w="5961" w:type="dxa"/>
          </w:tcPr>
          <w:p w:rsidR="003730A5" w:rsidRDefault="00CA100B">
            <w:hyperlink r:id="rId14"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 1</w:t>
            </w:r>
            <w:r>
              <w:rPr>
                <w:rFonts w:ascii="Lato"/>
              </w:rPr>
              <w:t xml:space="preserve">69.596, </w:t>
            </w:r>
            <w:proofErr w:type="spellStart"/>
            <w:r>
              <w:rPr>
                <w:rFonts w:ascii="Lato"/>
              </w:rPr>
              <w:t>RSMo</w:t>
            </w:r>
            <w:proofErr w:type="spellEnd"/>
          </w:p>
        </w:tc>
        <w:tc>
          <w:tcPr>
            <w:tcW w:w="5961" w:type="dxa"/>
          </w:tcPr>
          <w:p w:rsidR="003730A5" w:rsidRDefault="00CA100B">
            <w:hyperlink r:id="rId15" w:docLocation="https://revisor.mo.gov/main/Home.aspx">
              <w:r>
                <w:rPr>
                  <w:rFonts w:ascii="Lato"/>
                  <w:color w:val="0563C1" w:themeColor="hyperlink"/>
                  <w:u w:val="single"/>
                </w:rPr>
                <w:t>State Statute</w:t>
              </w:r>
            </w:hyperlink>
          </w:p>
        </w:tc>
      </w:tr>
      <w:tr w:rsidR="003730A5">
        <w:tblPrEx>
          <w:tblCellMar>
            <w:top w:w="0" w:type="dxa"/>
            <w:bottom w:w="0" w:type="dxa"/>
          </w:tblCellMar>
        </w:tblPrEx>
        <w:tc>
          <w:tcPr>
            <w:tcW w:w="4017" w:type="dxa"/>
          </w:tcPr>
          <w:p w:rsidR="003730A5" w:rsidRDefault="00CA100B">
            <w:pPr>
              <w:spacing w:after="0"/>
            </w:pPr>
            <w:r>
              <w:rPr>
                <w:rFonts w:ascii="Lato"/>
              </w:rPr>
              <w:t>§</w:t>
            </w:r>
            <w:r>
              <w:rPr>
                <w:rFonts w:ascii="Lato"/>
              </w:rPr>
              <w:t xml:space="preserve">168.036, </w:t>
            </w:r>
            <w:proofErr w:type="spellStart"/>
            <w:r>
              <w:rPr>
                <w:rFonts w:ascii="Lato"/>
              </w:rPr>
              <w:t>RSMo</w:t>
            </w:r>
            <w:proofErr w:type="spellEnd"/>
            <w:r>
              <w:rPr>
                <w:rFonts w:ascii="Lato"/>
              </w:rPr>
              <w:t>.</w:t>
            </w:r>
          </w:p>
        </w:tc>
        <w:tc>
          <w:tcPr>
            <w:tcW w:w="5961" w:type="dxa"/>
          </w:tcPr>
          <w:p w:rsidR="003730A5" w:rsidRDefault="00CA100B">
            <w:hyperlink r:id="rId16" w:docLocation="https://revisor.mo.gov/main/Home.aspx">
              <w:r>
                <w:rPr>
                  <w:rFonts w:ascii="Lato"/>
                  <w:color w:val="0563C1" w:themeColor="hyperlink"/>
                  <w:u w:val="single"/>
                </w:rPr>
                <w:t>State Statut</w:t>
              </w:r>
              <w:r>
                <w:rPr>
                  <w:rFonts w:ascii="Lato"/>
                  <w:color w:val="0563C1" w:themeColor="hyperlink"/>
                  <w:u w:val="single"/>
                </w:rPr>
                <w:t>e</w:t>
              </w:r>
            </w:hyperlink>
          </w:p>
        </w:tc>
      </w:tr>
      <w:tr w:rsidR="003730A5">
        <w:tblPrEx>
          <w:tblCellMar>
            <w:top w:w="0" w:type="dxa"/>
            <w:bottom w:w="0" w:type="dxa"/>
          </w:tblCellMar>
        </w:tblPrEx>
        <w:tc>
          <w:tcPr>
            <w:tcW w:w="4017" w:type="dxa"/>
          </w:tcPr>
          <w:p w:rsidR="003730A5" w:rsidRDefault="00CA100B">
            <w:pPr>
              <w:spacing w:after="0"/>
            </w:pPr>
            <w:r>
              <w:rPr>
                <w:rFonts w:ascii="Lato"/>
              </w:rPr>
              <w:t>16 C.S.R. 10-5.010</w:t>
            </w:r>
          </w:p>
        </w:tc>
        <w:tc>
          <w:tcPr>
            <w:tcW w:w="5961" w:type="dxa"/>
          </w:tcPr>
          <w:p w:rsidR="003730A5" w:rsidRDefault="00CA100B">
            <w:hyperlink r:id="rId17" w:docLocation="http://www.sos.mo.gov/adrules/csr/csr.asp">
              <w:r>
                <w:rPr>
                  <w:rFonts w:ascii="Lato"/>
                  <w:color w:val="0563C1" w:themeColor="hyperlink"/>
                  <w:u w:val="single"/>
                </w:rPr>
                <w:t>State Regulation</w:t>
              </w:r>
            </w:hyperlink>
          </w:p>
        </w:tc>
      </w:tr>
      <w:tr w:rsidR="003730A5">
        <w:tblPrEx>
          <w:tblCellMar>
            <w:top w:w="0" w:type="dxa"/>
            <w:bottom w:w="0" w:type="dxa"/>
          </w:tblCellMar>
        </w:tblPrEx>
        <w:tc>
          <w:tcPr>
            <w:tcW w:w="4017" w:type="dxa"/>
          </w:tcPr>
          <w:p w:rsidR="003730A5" w:rsidRDefault="00CA100B">
            <w:pPr>
              <w:spacing w:after="0"/>
            </w:pPr>
            <w:r>
              <w:rPr>
                <w:rFonts w:ascii="Lato"/>
              </w:rPr>
              <w:t>16 C.S.R. 10-6.060</w:t>
            </w:r>
          </w:p>
        </w:tc>
        <w:tc>
          <w:tcPr>
            <w:tcW w:w="5961" w:type="dxa"/>
          </w:tcPr>
          <w:p w:rsidR="003730A5" w:rsidRDefault="00CA100B">
            <w:hyperlink r:id="rId18" w:docLocation="http://www.sos.mo.gov/adrules/csr/csr.asp">
              <w:r>
                <w:rPr>
                  <w:rFonts w:ascii="Lato"/>
                  <w:color w:val="0563C1" w:themeColor="hyperlink"/>
                  <w:u w:val="single"/>
                </w:rPr>
                <w:t>State Regulation</w:t>
              </w:r>
            </w:hyperlink>
          </w:p>
        </w:tc>
      </w:tr>
      <w:tr w:rsidR="003730A5">
        <w:tblPrEx>
          <w:tblCellMar>
            <w:top w:w="0" w:type="dxa"/>
            <w:bottom w:w="0" w:type="dxa"/>
          </w:tblCellMar>
        </w:tblPrEx>
        <w:tc>
          <w:tcPr>
            <w:tcW w:w="4017" w:type="dxa"/>
          </w:tcPr>
          <w:p w:rsidR="003730A5" w:rsidRDefault="00CA100B">
            <w:pPr>
              <w:spacing w:after="0"/>
            </w:pPr>
            <w:r>
              <w:rPr>
                <w:rFonts w:ascii="Lato"/>
              </w:rPr>
              <w:t>5 C.S.R. 20-400.110</w:t>
            </w:r>
          </w:p>
        </w:tc>
        <w:tc>
          <w:tcPr>
            <w:tcW w:w="5961" w:type="dxa"/>
          </w:tcPr>
          <w:p w:rsidR="003730A5" w:rsidRDefault="00CA100B">
            <w:hyperlink r:id="rId19" w:docLocation="http://www.sos.mo.gov/adrules/csr/csr.asp">
              <w:r>
                <w:rPr>
                  <w:rFonts w:ascii="Lato"/>
                  <w:color w:val="0563C1" w:themeColor="hyperlink"/>
                  <w:u w:val="single"/>
                </w:rPr>
                <w:t>Stat</w:t>
              </w:r>
              <w:r>
                <w:rPr>
                  <w:rFonts w:ascii="Lato"/>
                  <w:color w:val="0563C1" w:themeColor="hyperlink"/>
                  <w:u w:val="single"/>
                </w:rPr>
                <w:t>e Regulation</w:t>
              </w:r>
            </w:hyperlink>
          </w:p>
        </w:tc>
      </w:tr>
      <w:tr w:rsidR="003730A5">
        <w:tblPrEx>
          <w:tblCellMar>
            <w:top w:w="0" w:type="dxa"/>
            <w:bottom w:w="0" w:type="dxa"/>
          </w:tblCellMar>
        </w:tblPrEx>
        <w:tc>
          <w:tcPr>
            <w:tcW w:w="4017" w:type="dxa"/>
          </w:tcPr>
          <w:p w:rsidR="003730A5" w:rsidRDefault="00CA100B">
            <w:pPr>
              <w:spacing w:after="0"/>
            </w:pPr>
            <w:r>
              <w:rPr>
                <w:rFonts w:ascii="Lato"/>
              </w:rPr>
              <w:t>5 C.S.R. 20-400.220</w:t>
            </w:r>
          </w:p>
        </w:tc>
        <w:tc>
          <w:tcPr>
            <w:tcW w:w="5961" w:type="dxa"/>
          </w:tcPr>
          <w:p w:rsidR="003730A5" w:rsidRDefault="00CA100B">
            <w:hyperlink r:id="rId20" w:docLocation="http://www.sos.mo.gov/adrules/csr/csr.asp">
              <w:r>
                <w:rPr>
                  <w:rFonts w:ascii="Lato"/>
                  <w:color w:val="0563C1" w:themeColor="hyperlink"/>
                  <w:u w:val="single"/>
                </w:rPr>
                <w:t>State Regulation</w:t>
              </w:r>
            </w:hyperlink>
          </w:p>
        </w:tc>
      </w:tr>
    </w:tbl>
    <w:p w:rsidR="00000000" w:rsidRDefault="00CA100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0A5"/>
    <w:rsid w:val="003730A5"/>
    <w:rsid w:val="00CA1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76EE9"/>
  <w15:docId w15:val="{719F5F7F-3F8E-4652-AB51-B39101C3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818988">
      <w:bodyDiv w:val="1"/>
      <w:marLeft w:val="0"/>
      <w:marRight w:val="0"/>
      <w:marTop w:val="0"/>
      <w:marBottom w:val="0"/>
      <w:divBdr>
        <w:top w:val="none" w:sz="0" w:space="0" w:color="auto"/>
        <w:left w:val="none" w:sz="0" w:space="0" w:color="auto"/>
        <w:bottom w:val="none" w:sz="0" w:space="0" w:color="auto"/>
        <w:right w:val="none" w:sz="0" w:space="0" w:color="auto"/>
      </w:divBdr>
      <w:divsChild>
        <w:div w:id="1942183796">
          <w:marLeft w:val="0"/>
          <w:marRight w:val="0"/>
          <w:marTop w:val="0"/>
          <w:marBottom w:val="0"/>
          <w:divBdr>
            <w:top w:val="none" w:sz="0" w:space="0" w:color="auto"/>
            <w:left w:val="none" w:sz="0" w:space="0" w:color="auto"/>
            <w:bottom w:val="none" w:sz="0" w:space="0" w:color="auto"/>
            <w:right w:val="none" w:sz="0" w:space="0" w:color="auto"/>
          </w:divBdr>
          <w:divsChild>
            <w:div w:id="1708722873">
              <w:marLeft w:val="0"/>
              <w:marRight w:val="0"/>
              <w:marTop w:val="0"/>
              <w:marBottom w:val="0"/>
              <w:divBdr>
                <w:top w:val="none" w:sz="0" w:space="0" w:color="auto"/>
                <w:left w:val="none" w:sz="0" w:space="0" w:color="auto"/>
                <w:bottom w:val="none" w:sz="0" w:space="0" w:color="auto"/>
                <w:right w:val="none" w:sz="0" w:space="0" w:color="auto"/>
              </w:divBdr>
              <w:divsChild>
                <w:div w:id="114963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924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www.sos.mo.gov/adrules/csr/csr.asp"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www.sos.mo.gov/adrules/csr/csr.asp" TargetMode="External"/><Relationship Id="rId2" Type="http://schemas.openxmlformats.org/officeDocument/2006/relationships/settings" Target="settings.xml"/><Relationship Id="rId16" Type="http://schemas.openxmlformats.org/officeDocument/2006/relationships/hyperlink" Target="https://revisor.mo.gov/main/Home.aspx" TargetMode="External"/><Relationship Id="rId20" Type="http://schemas.openxmlformats.org/officeDocument/2006/relationships/hyperlink" Target="http://www.sos.mo.gov/adrules/csr/csr.asp" TargetMode="External"/><Relationship Id="rId1" Type="http://schemas.openxmlformats.org/officeDocument/2006/relationships/styles" Target="styles.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10" Type="http://schemas.openxmlformats.org/officeDocument/2006/relationships/hyperlink" Target="https://revisor.mo.gov/main/Home.aspx" TargetMode="External"/><Relationship Id="rId19" Type="http://schemas.openxmlformats.org/officeDocument/2006/relationships/hyperlink" Target="http://www.sos.mo.gov/adrules/csr/csr.asp" TargetMode="External"/><Relationship Id="rId4" Type="http://schemas.openxmlformats.org/officeDocument/2006/relationships/hyperlink" Target="https://revisor.mo.gov/main/Home.aspx" TargetMode="Externa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2024-12-31T22:01:00Z</dcterms:created>
  <dcterms:modified xsi:type="dcterms:W3CDTF">2024-12-31T22:01:00Z</dcterms:modified>
</cp:coreProperties>
</file>