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DD9" w:rsidRDefault="008942CD">
      <w:pPr>
        <w:spacing w:after="0"/>
        <w:jc w:val="right"/>
      </w:pPr>
      <w:r>
        <w:rPr>
          <w:rFonts w:ascii="Lato Black"/>
          <w:b/>
        </w:rPr>
        <w:t>MSBA Core Manual</w:t>
      </w:r>
    </w:p>
    <w:p w:rsidR="00D30DD9" w:rsidRDefault="008942CD">
      <w:pPr>
        <w:jc w:val="right"/>
      </w:pPr>
      <w:r>
        <w:rPr>
          <w:rFonts w:ascii="Lato Black"/>
          <w:b/>
        </w:rPr>
        <w:t>Basic Policy Management Services</w:t>
      </w:r>
    </w:p>
    <w:tbl>
      <w:tblPr>
        <w:tblW w:w="5000" w:type="pct"/>
        <w:tblInd w:w="10" w:type="dxa"/>
        <w:tblBorders>
          <w:top w:val="single" w:sz="1" w:space="0" w:color="D5D5D5"/>
          <w:bottom w:val="single" w:sz="1" w:space="0" w:color="D5D5D5"/>
        </w:tblBorders>
        <w:shd w:val="clear" w:color="auto" w:fill="EFEFEF"/>
        <w:tblCellMar>
          <w:top w:w="100" w:type="dxa"/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5"/>
        <w:gridCol w:w="1921"/>
      </w:tblGrid>
      <w:tr w:rsidR="00D30DD9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D30DD9" w:rsidRDefault="008942CD">
            <w:pPr>
              <w:spacing w:after="0"/>
            </w:pPr>
            <w:r>
              <w:rPr>
                <w:rFonts w:ascii="Lato Black"/>
                <w:b/>
              </w:rPr>
              <w:t>Policy JFCH: STUDENT ALCOHOL AND DRUG USE</w:t>
            </w:r>
          </w:p>
        </w:tc>
        <w:tc>
          <w:tcPr>
            <w:tcW w:w="1000" w:type="pct"/>
            <w:shd w:val="clear" w:color="auto" w:fill="EFEFEF"/>
          </w:tcPr>
          <w:p w:rsidR="00D30DD9" w:rsidRDefault="008942CD">
            <w:r>
              <w:rPr>
                <w:rFonts w:ascii="Lato Black"/>
                <w:b/>
              </w:rPr>
              <w:t xml:space="preserve">Status: </w:t>
            </w:r>
            <w:r>
              <w:rPr>
                <w:rFonts w:ascii="Lato"/>
              </w:rPr>
              <w:t>ADOPTED</w:t>
            </w:r>
          </w:p>
        </w:tc>
      </w:tr>
      <w:tr w:rsidR="00D30DD9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D30DD9" w:rsidRDefault="008942CD">
            <w:r>
              <w:rPr>
                <w:rFonts w:ascii="Lato Black"/>
                <w:b/>
                <w:sz w:val="18"/>
              </w:rPr>
              <w:t xml:space="preserve">Original Adopted Date: </w:t>
            </w:r>
            <w:r>
              <w:rPr>
                <w:rFonts w:ascii="Lato"/>
                <w:sz w:val="18"/>
              </w:rPr>
              <w:t>01/23/2020</w:t>
            </w:r>
            <w:r>
              <w:rPr>
                <w:rFonts w:ascii="Lato Black"/>
                <w:b/>
                <w:sz w:val="18"/>
              </w:rPr>
              <w:t xml:space="preserve"> | Last Revised Date: </w:t>
            </w:r>
            <w:r>
              <w:rPr>
                <w:rFonts w:ascii="Lato"/>
                <w:sz w:val="18"/>
              </w:rPr>
              <w:t>12/14/2023</w:t>
            </w:r>
            <w:r>
              <w:rPr>
                <w:rFonts w:ascii="Lato Black"/>
                <w:b/>
                <w:sz w:val="18"/>
              </w:rPr>
              <w:t xml:space="preserve"> | Last Reviewed Date: </w:t>
            </w:r>
            <w:r>
              <w:rPr>
                <w:rFonts w:ascii="Lato"/>
                <w:sz w:val="18"/>
              </w:rPr>
              <w:t>05/15/2024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EFEFEF"/>
          </w:tcPr>
          <w:p w:rsidR="00D30DD9" w:rsidRDefault="00D30DD9">
            <w:pPr>
              <w:spacing w:after="0"/>
            </w:pPr>
          </w:p>
        </w:tc>
      </w:tr>
    </w:tbl>
    <w:p w:rsidR="00D30DD9" w:rsidRDefault="00D30DD9">
      <w:pPr>
        <w:spacing w:after="30"/>
        <w:jc w:val="right"/>
      </w:pPr>
    </w:p>
    <w:p w:rsidR="00000000" w:rsidRDefault="008942CD">
      <w:pPr>
        <w:pStyle w:val="Heading3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Definitions</w:t>
      </w:r>
    </w:p>
    <w:p w:rsidR="00000000" w:rsidRDefault="008942CD">
      <w:pPr>
        <w:pStyle w:val="NormalWeb"/>
        <w:divId w:val="1854488201"/>
        <w:rPr>
          <w:rFonts w:ascii="Lato" w:hAnsi="Lato"/>
          <w:sz w:val="22"/>
          <w:szCs w:val="22"/>
        </w:rPr>
      </w:pPr>
      <w:r>
        <w:rPr>
          <w:rStyle w:val="Emphasis"/>
          <w:rFonts w:ascii="Lato" w:hAnsi="Lato"/>
          <w:sz w:val="22"/>
          <w:szCs w:val="22"/>
        </w:rPr>
        <w:t>Controlled Substances</w:t>
      </w:r>
      <w:r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– Substances listed in schedules I, II, III, IV, and V of the federal Controlled Substances Act, 21 U.S.C. § 812. For the purposes of this policy, a controlled substance shall also include any controlled substance, counterfeit substance, or imitation contr</w:t>
      </w:r>
      <w:r>
        <w:rPr>
          <w:rFonts w:ascii="Lato" w:hAnsi="Lato"/>
          <w:sz w:val="22"/>
          <w:szCs w:val="22"/>
        </w:rPr>
        <w:t xml:space="preserve">olled substance as defined in § 195.010, </w:t>
      </w:r>
      <w:proofErr w:type="spellStart"/>
      <w:r>
        <w:rPr>
          <w:rFonts w:ascii="Lato" w:hAnsi="Lato"/>
          <w:sz w:val="22"/>
          <w:szCs w:val="22"/>
        </w:rPr>
        <w:t>RSMo</w:t>
      </w:r>
      <w:proofErr w:type="spellEnd"/>
      <w:r>
        <w:rPr>
          <w:rFonts w:ascii="Lato" w:hAnsi="Lato"/>
          <w:sz w:val="22"/>
          <w:szCs w:val="22"/>
        </w:rPr>
        <w:t>., and any chemical substances structurally similar to and treated as controlled substances under state law.</w:t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Style w:val="Emphasis"/>
          <w:rFonts w:ascii="Lato" w:hAnsi="Lato"/>
          <w:sz w:val="22"/>
          <w:szCs w:val="22"/>
        </w:rPr>
        <w:t>District Activity</w:t>
      </w:r>
      <w:r>
        <w:rPr>
          <w:rFonts w:ascii="Lato" w:hAnsi="Lato"/>
          <w:sz w:val="22"/>
          <w:szCs w:val="22"/>
        </w:rPr>
        <w:t xml:space="preserve"> – Any activity, event, or function that is sponsored or approved by </w:t>
      </w:r>
      <w:proofErr w:type="gramStart"/>
      <w:r>
        <w:rPr>
          <w:rFonts w:ascii="Lato" w:hAnsi="Lato"/>
          <w:sz w:val="22"/>
          <w:szCs w:val="22"/>
        </w:rPr>
        <w:t>the district an</w:t>
      </w:r>
      <w:r>
        <w:rPr>
          <w:rFonts w:ascii="Lato" w:hAnsi="Lato"/>
          <w:sz w:val="22"/>
          <w:szCs w:val="22"/>
        </w:rPr>
        <w:t>d where students are under district supervision, such as field trips or athletic events</w:t>
      </w:r>
      <w:proofErr w:type="gramEnd"/>
      <w:r>
        <w:rPr>
          <w:rFonts w:ascii="Lato" w:hAnsi="Lato"/>
          <w:sz w:val="22"/>
          <w:szCs w:val="22"/>
        </w:rPr>
        <w:t>. </w:t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Style w:val="Emphasis"/>
          <w:rFonts w:ascii="Lato" w:hAnsi="Lato"/>
          <w:sz w:val="22"/>
          <w:szCs w:val="22"/>
        </w:rPr>
        <w:t>District Property</w:t>
      </w:r>
      <w:r>
        <w:rPr>
          <w:rFonts w:ascii="Lato" w:hAnsi="Lato"/>
          <w:sz w:val="22"/>
          <w:szCs w:val="22"/>
        </w:rPr>
        <w:t xml:space="preserve"> –Any property owned or leased by the district, including any vehicle owned, leased, or used for district purposes, and any location where a distric</w:t>
      </w:r>
      <w:r>
        <w:rPr>
          <w:rFonts w:ascii="Lato" w:hAnsi="Lato"/>
          <w:sz w:val="22"/>
          <w:szCs w:val="22"/>
        </w:rPr>
        <w:t>t-sponsored or district-approved activity takes place.</w:t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Style w:val="Emphasis"/>
          <w:rFonts w:ascii="Lato" w:hAnsi="Lato"/>
          <w:sz w:val="22"/>
          <w:szCs w:val="22"/>
        </w:rPr>
        <w:t>Prohibited Substances</w:t>
      </w:r>
      <w:r>
        <w:rPr>
          <w:rFonts w:ascii="Lato" w:hAnsi="Lato"/>
          <w:sz w:val="22"/>
          <w:szCs w:val="22"/>
        </w:rPr>
        <w:t xml:space="preserve"> – For the purposes of this policy, a prohibited substance shall include:</w:t>
      </w:r>
    </w:p>
    <w:p w:rsidR="00000000" w:rsidRDefault="008942CD">
      <w:pPr>
        <w:numPr>
          <w:ilvl w:val="0"/>
          <w:numId w:val="1"/>
        </w:numPr>
        <w:spacing w:before="100" w:beforeAutospacing="1" w:after="100" w:afterAutospacing="1" w:line="240" w:lineRule="auto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Alcohol</w:t>
      </w:r>
      <w:r>
        <w:rPr>
          <w:rFonts w:ascii="Lato" w:eastAsia="Times New Roman" w:hAnsi="Lato"/>
        </w:rPr>
        <w:br/>
        <w:t> </w:t>
      </w:r>
    </w:p>
    <w:p w:rsidR="00000000" w:rsidRDefault="008942CD">
      <w:pPr>
        <w:numPr>
          <w:ilvl w:val="0"/>
          <w:numId w:val="1"/>
        </w:numPr>
        <w:spacing w:before="100" w:beforeAutospacing="1" w:after="100" w:afterAutospacing="1" w:line="240" w:lineRule="auto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Controlled substances for which the student does not have a valid prescription.</w:t>
      </w:r>
      <w:r>
        <w:rPr>
          <w:rFonts w:ascii="Lato" w:eastAsia="Times New Roman" w:hAnsi="Lato"/>
        </w:rPr>
        <w:br/>
        <w:t> </w:t>
      </w:r>
    </w:p>
    <w:p w:rsidR="00000000" w:rsidRDefault="008942CD">
      <w:pPr>
        <w:numPr>
          <w:ilvl w:val="0"/>
          <w:numId w:val="1"/>
        </w:numPr>
        <w:spacing w:before="100" w:beforeAutospacing="1" w:after="100" w:afterAutospacing="1" w:line="240" w:lineRule="auto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Unauthorized </w:t>
      </w:r>
      <w:r>
        <w:rPr>
          <w:rFonts w:ascii="Lato" w:eastAsia="Times New Roman" w:hAnsi="Lato"/>
        </w:rPr>
        <w:t>inhalants.</w:t>
      </w:r>
      <w:r>
        <w:rPr>
          <w:rFonts w:ascii="Lato" w:eastAsia="Times New Roman" w:hAnsi="Lato"/>
        </w:rPr>
        <w:br/>
        <w:t> </w:t>
      </w:r>
    </w:p>
    <w:p w:rsidR="00000000" w:rsidRDefault="008942CD">
      <w:pPr>
        <w:numPr>
          <w:ilvl w:val="0"/>
          <w:numId w:val="1"/>
        </w:numPr>
        <w:spacing w:before="100" w:beforeAutospacing="1" w:after="100" w:afterAutospacing="1" w:line="240" w:lineRule="auto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Counterfeit or imitation controlled substances.</w:t>
      </w:r>
      <w:r>
        <w:rPr>
          <w:rFonts w:ascii="Lato" w:eastAsia="Times New Roman" w:hAnsi="Lato"/>
        </w:rPr>
        <w:br/>
        <w:t> </w:t>
      </w:r>
    </w:p>
    <w:p w:rsidR="00000000" w:rsidRDefault="008942CD">
      <w:pPr>
        <w:numPr>
          <w:ilvl w:val="0"/>
          <w:numId w:val="1"/>
        </w:numPr>
        <w:spacing w:before="100" w:beforeAutospacing="1" w:after="100" w:afterAutospacing="1" w:line="240" w:lineRule="auto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Marijuana or marijuana-infused products.</w:t>
      </w:r>
      <w:r>
        <w:rPr>
          <w:rFonts w:ascii="Lato" w:eastAsia="Times New Roman" w:hAnsi="Lato"/>
        </w:rPr>
        <w:br/>
        <w:t> </w:t>
      </w:r>
    </w:p>
    <w:p w:rsidR="00000000" w:rsidRDefault="008942CD">
      <w:pPr>
        <w:numPr>
          <w:ilvl w:val="0"/>
          <w:numId w:val="1"/>
        </w:numPr>
        <w:spacing w:before="100" w:beforeAutospacing="1" w:after="100" w:afterAutospacing="1" w:line="240" w:lineRule="auto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Any other illegal drug.</w:t>
      </w:r>
      <w:r>
        <w:rPr>
          <w:rFonts w:ascii="Lato" w:eastAsia="Times New Roman" w:hAnsi="Lato"/>
        </w:rPr>
        <w:br/>
        <w:t> </w:t>
      </w:r>
    </w:p>
    <w:p w:rsidR="00000000" w:rsidRDefault="008942CD">
      <w:pPr>
        <w:numPr>
          <w:ilvl w:val="0"/>
          <w:numId w:val="1"/>
        </w:numPr>
        <w:spacing w:before="100" w:beforeAutospacing="1" w:after="100" w:afterAutospacing="1" w:line="240" w:lineRule="auto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Any drug or medicine prohibited on district property by law or policy.</w:t>
      </w:r>
      <w:r>
        <w:rPr>
          <w:rFonts w:ascii="Lato" w:eastAsia="Times New Roman" w:hAnsi="Lato"/>
        </w:rPr>
        <w:br/>
        <w:t> </w:t>
      </w:r>
    </w:p>
    <w:p w:rsidR="00000000" w:rsidRDefault="008942CD">
      <w:pPr>
        <w:numPr>
          <w:ilvl w:val="0"/>
          <w:numId w:val="1"/>
        </w:numPr>
        <w:spacing w:before="100" w:beforeAutospacing="1" w:after="100" w:afterAutospacing="1" w:line="240" w:lineRule="auto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Substances intended to create a false negative on a</w:t>
      </w:r>
      <w:r>
        <w:rPr>
          <w:rFonts w:ascii="Lato" w:eastAsia="Times New Roman" w:hAnsi="Lato"/>
        </w:rPr>
        <w:t xml:space="preserve"> drug test.</w:t>
      </w:r>
    </w:p>
    <w:p w:rsidR="00000000" w:rsidRDefault="008942CD">
      <w:pPr>
        <w:pStyle w:val="Heading3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Prohibited Substances</w:t>
      </w:r>
      <w:r>
        <w:rPr>
          <w:rFonts w:ascii="Tahoma" w:eastAsia="Times New Roman" w:hAnsi="Tahoma" w:cs="Tahoma"/>
        </w:rPr>
        <w:t>﻿</w:t>
      </w:r>
    </w:p>
    <w:p w:rsidR="00000000" w:rsidRDefault="008942CD">
      <w:pPr>
        <w:pStyle w:val="NormalWeb"/>
        <w:divId w:val="1854488201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The district</w:t>
      </w:r>
      <w:proofErr w:type="gramStart"/>
      <w:r>
        <w:rPr>
          <w:rFonts w:ascii="Lato" w:hAnsi="Lato"/>
          <w:sz w:val="22"/>
          <w:szCs w:val="22"/>
        </w:rPr>
        <w:t>  is</w:t>
      </w:r>
      <w:proofErr w:type="gramEnd"/>
      <w:r>
        <w:rPr>
          <w:rFonts w:ascii="Lato" w:hAnsi="Lato"/>
          <w:sz w:val="22"/>
          <w:szCs w:val="22"/>
        </w:rPr>
        <w:t xml:space="preserve"> concerned with the health, welfar</w:t>
      </w:r>
      <w:r>
        <w:rPr>
          <w:rFonts w:ascii="Lato" w:hAnsi="Lato"/>
          <w:sz w:val="22"/>
          <w:szCs w:val="22"/>
        </w:rPr>
        <w:t>e</w:t>
      </w:r>
      <w:r>
        <w:rPr>
          <w:rStyle w:val="ice-no-decoration"/>
          <w:rFonts w:ascii="Lato" w:hAnsi="Lato"/>
          <w:sz w:val="22"/>
          <w:szCs w:val="22"/>
        </w:rPr>
        <w:t>,</w:t>
      </w:r>
      <w:r>
        <w:rPr>
          <w:rFonts w:ascii="Lato" w:hAnsi="Lato"/>
          <w:sz w:val="22"/>
          <w:szCs w:val="22"/>
        </w:rPr>
        <w:t xml:space="preserve"> and safety of its students. Therefore, the district prohibits individuals from manufacturing, using, selling, transferring, distributing, possessing, or being under the</w:t>
      </w:r>
      <w:r>
        <w:rPr>
          <w:rFonts w:ascii="Lato" w:hAnsi="Lato"/>
          <w:sz w:val="22"/>
          <w:szCs w:val="22"/>
        </w:rPr>
        <w:t xml:space="preserve"> influence of prohibited substances on district property, at district activities, and in any district-owned or district-approved vehicle used to transport students to or from district activities. The use, sale, transfer, or possession of drug-related parap</w:t>
      </w:r>
      <w:r>
        <w:rPr>
          <w:rFonts w:ascii="Lato" w:hAnsi="Lato"/>
          <w:sz w:val="22"/>
          <w:szCs w:val="22"/>
        </w:rPr>
        <w:t xml:space="preserve">hernalia </w:t>
      </w:r>
      <w:proofErr w:type="gramStart"/>
      <w:r>
        <w:rPr>
          <w:rFonts w:ascii="Lato" w:hAnsi="Lato"/>
          <w:sz w:val="22"/>
          <w:szCs w:val="22"/>
        </w:rPr>
        <w:t>is also prohibited</w:t>
      </w:r>
      <w:proofErr w:type="gramEnd"/>
      <w:r>
        <w:rPr>
          <w:rFonts w:ascii="Lato" w:hAnsi="Lato"/>
          <w:sz w:val="22"/>
          <w:szCs w:val="22"/>
        </w:rPr>
        <w:t>.</w:t>
      </w:r>
    </w:p>
    <w:p w:rsidR="00000000" w:rsidRDefault="008942CD">
      <w:pPr>
        <w:pStyle w:val="Heading4"/>
        <w:divId w:val="1854488201"/>
        <w:rPr>
          <w:rFonts w:ascii="Lato" w:eastAsia="Times New Roman" w:hAnsi="Lato"/>
        </w:rPr>
      </w:pPr>
      <w:r>
        <w:rPr>
          <w:rStyle w:val="Emphasis"/>
          <w:rFonts w:ascii="Lato" w:eastAsia="Times New Roman" w:hAnsi="Lato"/>
        </w:rPr>
        <w:t>Marijuana</w:t>
      </w:r>
    </w:p>
    <w:p w:rsidR="00000000" w:rsidRDefault="008942CD">
      <w:pPr>
        <w:pStyle w:val="NormalWeb"/>
        <w:divId w:val="1854488201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Because marijuana and marijuana-infused products </w:t>
      </w:r>
      <w:proofErr w:type="gramStart"/>
      <w:r>
        <w:rPr>
          <w:rFonts w:ascii="Lato" w:hAnsi="Lato"/>
          <w:sz w:val="22"/>
          <w:szCs w:val="22"/>
        </w:rPr>
        <w:t>are prohibited</w:t>
      </w:r>
      <w:proofErr w:type="gramEnd"/>
      <w:r>
        <w:rPr>
          <w:rFonts w:ascii="Lato" w:hAnsi="Lato"/>
          <w:sz w:val="22"/>
          <w:szCs w:val="22"/>
        </w:rPr>
        <w:t xml:space="preserve"> under federal law, the district does not permit their possession, use, or administration for medicinal or other purposes on district property or at distr</w:t>
      </w:r>
      <w:r>
        <w:rPr>
          <w:rFonts w:ascii="Lato" w:hAnsi="Lato"/>
          <w:sz w:val="22"/>
          <w:szCs w:val="22"/>
        </w:rPr>
        <w:t>ict events even with a valid, Missouri-issued medical marijuana card.</w:t>
      </w:r>
    </w:p>
    <w:p w:rsidR="00000000" w:rsidRDefault="008942CD">
      <w:pPr>
        <w:pStyle w:val="Heading4"/>
        <w:divId w:val="1854488201"/>
        <w:rPr>
          <w:rFonts w:ascii="Lato" w:eastAsia="Times New Roman" w:hAnsi="Lato"/>
        </w:rPr>
      </w:pPr>
      <w:r>
        <w:rPr>
          <w:rStyle w:val="Emphasis"/>
          <w:rFonts w:ascii="Lato" w:eastAsia="Times New Roman" w:hAnsi="Lato"/>
        </w:rPr>
        <w:lastRenderedPageBreak/>
        <w:t>Under the Influence</w:t>
      </w:r>
    </w:p>
    <w:p w:rsidR="00000000" w:rsidRDefault="008942CD">
      <w:pPr>
        <w:pStyle w:val="NormalWeb"/>
        <w:divId w:val="1854488201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If there is evidence that a student is under the influence of a substance prohibited by this policy, the student </w:t>
      </w:r>
      <w:proofErr w:type="gramStart"/>
      <w:r>
        <w:rPr>
          <w:rFonts w:ascii="Lato" w:hAnsi="Lato"/>
          <w:sz w:val="22"/>
          <w:szCs w:val="22"/>
        </w:rPr>
        <w:t>may be removed</w:t>
      </w:r>
      <w:proofErr w:type="gramEnd"/>
      <w:r>
        <w:rPr>
          <w:rFonts w:ascii="Lato" w:hAnsi="Lato"/>
          <w:sz w:val="22"/>
          <w:szCs w:val="22"/>
        </w:rPr>
        <w:t xml:space="preserve"> from school or activities and may be d</w:t>
      </w:r>
      <w:r>
        <w:rPr>
          <w:rFonts w:ascii="Lato" w:hAnsi="Lato"/>
          <w:sz w:val="22"/>
          <w:szCs w:val="22"/>
        </w:rPr>
        <w:t xml:space="preserve">isciplined depending on the circumstances. The student </w:t>
      </w:r>
      <w:proofErr w:type="gramStart"/>
      <w:r>
        <w:rPr>
          <w:rFonts w:ascii="Lato" w:hAnsi="Lato"/>
          <w:sz w:val="22"/>
          <w:szCs w:val="22"/>
        </w:rPr>
        <w:t>will be given</w:t>
      </w:r>
      <w:proofErr w:type="gramEnd"/>
      <w:r>
        <w:rPr>
          <w:rFonts w:ascii="Lato" w:hAnsi="Lato"/>
          <w:sz w:val="22"/>
          <w:szCs w:val="22"/>
        </w:rPr>
        <w:t xml:space="preserve"> an opportunity to explain the apparent impairment prior to being removed. The district may conduct student drug testing in accordance with policy JFCI.</w:t>
      </w:r>
    </w:p>
    <w:p w:rsidR="00000000" w:rsidRDefault="008942CD">
      <w:pPr>
        <w:pStyle w:val="Heading3"/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</w:rPr>
        <w:t>Consequences</w:t>
      </w:r>
    </w:p>
    <w:p w:rsidR="00000000" w:rsidRDefault="008942CD">
      <w:pPr>
        <w:pStyle w:val="NormalWeb"/>
        <w:divId w:val="1854488201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Students who violate t</w:t>
      </w:r>
      <w:r>
        <w:rPr>
          <w:rFonts w:ascii="Lato" w:hAnsi="Lato"/>
          <w:sz w:val="22"/>
          <w:szCs w:val="22"/>
        </w:rPr>
        <w:t xml:space="preserve">his policy </w:t>
      </w:r>
      <w:proofErr w:type="gramStart"/>
      <w:r>
        <w:rPr>
          <w:rFonts w:ascii="Lato" w:hAnsi="Lato"/>
          <w:sz w:val="22"/>
          <w:szCs w:val="22"/>
        </w:rPr>
        <w:t>will be disciplined</w:t>
      </w:r>
      <w:proofErr w:type="gramEnd"/>
      <w:r>
        <w:rPr>
          <w:rFonts w:ascii="Lato" w:hAnsi="Lato"/>
          <w:sz w:val="22"/>
          <w:szCs w:val="22"/>
        </w:rPr>
        <w:t xml:space="preserve"> in accordance with the district's code of student conduct. In accordance with law, the district is required to immediately notify law enforcement when a student is in possession of a controlled substance and </w:t>
      </w:r>
      <w:proofErr w:type="gramStart"/>
      <w:r>
        <w:rPr>
          <w:rFonts w:ascii="Lato" w:hAnsi="Lato"/>
          <w:sz w:val="22"/>
          <w:szCs w:val="22"/>
        </w:rPr>
        <w:t>will also</w:t>
      </w:r>
      <w:proofErr w:type="gramEnd"/>
      <w:r>
        <w:rPr>
          <w:rFonts w:ascii="Lato" w:hAnsi="Lato"/>
          <w:sz w:val="22"/>
          <w:szCs w:val="22"/>
        </w:rPr>
        <w:t xml:space="preserve"> notify </w:t>
      </w:r>
      <w:r>
        <w:rPr>
          <w:rFonts w:ascii="Lato" w:hAnsi="Lato"/>
          <w:sz w:val="22"/>
          <w:szCs w:val="22"/>
        </w:rPr>
        <w:t>law enforcement when a student is in possession of any other illegal substance or illegal drug paraphernalia.</w:t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  <w:t>The board encourages the superintendent or designee to consider alternative discipline for students who are willing to seek treatment or counseli</w:t>
      </w:r>
      <w:r>
        <w:rPr>
          <w:rFonts w:ascii="Lato" w:hAnsi="Lato"/>
          <w:sz w:val="22"/>
          <w:szCs w:val="22"/>
        </w:rPr>
        <w:t>ng options.</w:t>
      </w:r>
    </w:p>
    <w:p w:rsidR="00000000" w:rsidRDefault="008942CD">
      <w:pPr>
        <w:divId w:val="1854488201"/>
        <w:rPr>
          <w:rFonts w:ascii="Lato" w:eastAsia="Times New Roman" w:hAnsi="Lato"/>
        </w:rPr>
      </w:pPr>
      <w:r>
        <w:rPr>
          <w:rFonts w:ascii="Lato" w:eastAsia="Times New Roman" w:hAnsi="Lato"/>
          <w:sz w:val="17"/>
          <w:szCs w:val="17"/>
        </w:rPr>
        <w:t>© 2023, Missouri School Boards' Association</w:t>
      </w:r>
      <w:r>
        <w:rPr>
          <w:rFonts w:ascii="Lato" w:eastAsia="Times New Roman" w:hAnsi="Lato"/>
          <w:sz w:val="17"/>
          <w:szCs w:val="17"/>
        </w:rPr>
        <w:br/>
        <w:t>Version JFCH-C.1M (11/23)</w:t>
      </w:r>
      <w:r>
        <w:rPr>
          <w:rFonts w:ascii="Lato" w:eastAsia="Times New Roman" w:hAnsi="Lato"/>
        </w:rPr>
        <w:t xml:space="preserve"> </w:t>
      </w:r>
    </w:p>
    <w:p w:rsidR="00D30DD9" w:rsidRDefault="00D30DD9">
      <w:pPr>
        <w:pBdr>
          <w:bottom w:val="single" w:sz="5" w:space="1" w:color="auto"/>
        </w:pBdr>
      </w:pPr>
    </w:p>
    <w:p w:rsidR="00000000" w:rsidRDefault="008942CD">
      <w:pPr>
        <w:divId w:val="925454921"/>
        <w:rPr>
          <w:rFonts w:ascii="Lato" w:eastAsia="Times New Roman" w:hAnsi="Lato"/>
        </w:rPr>
      </w:pPr>
      <w:r>
        <w:rPr>
          <w:rFonts w:ascii="Lato" w:eastAsia="Times New Roman" w:hAnsi="Lato"/>
        </w:rPr>
        <w:t> </w:t>
      </w:r>
    </w:p>
    <w:p w:rsidR="00000000" w:rsidRDefault="008942CD">
      <w:pPr>
        <w:pStyle w:val="Heading2"/>
        <w:shd w:val="clear" w:color="auto" w:fill="FFFFFF"/>
        <w:spacing w:before="0" w:beforeAutospacing="0" w:after="0" w:afterAutospacing="0"/>
        <w:textAlignment w:val="baseline"/>
        <w:divId w:val="550194427"/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</w:pPr>
      <w:r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  <w:t>Policy Reference Disclaimer:</w:t>
      </w:r>
    </w:p>
    <w:p w:rsidR="00000000" w:rsidRDefault="008942CD">
      <w:pPr>
        <w:divId w:val="550194427"/>
        <w:rPr>
          <w:rFonts w:ascii="Lato" w:eastAsia="Times New Roman" w:hAnsi="Lato"/>
        </w:rPr>
      </w:pP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 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These references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not intended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to be part of the policy itself, nor do they indicate the basis or authority for the board to enact this policy. Instead, they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provided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as additional resources for those interested in the subject matter of the policy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.</w:t>
      </w:r>
      <w:r>
        <w:rPr>
          <w:rFonts w:ascii="Lato" w:eastAsia="Times New Roman" w:hAnsi="Lato"/>
        </w:rPr>
        <w:t xml:space="preserve"> 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 Black"/>
                <w:b/>
              </w:rPr>
              <w:t>State</w:t>
            </w:r>
          </w:p>
        </w:tc>
        <w:tc>
          <w:tcPr>
            <w:tcW w:w="5961" w:type="dxa"/>
          </w:tcPr>
          <w:p w:rsidR="00D30DD9" w:rsidRDefault="008942CD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167.115,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D30DD9" w:rsidRDefault="008942CD">
            <w:hyperlink r:id="rId5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167.117,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D30DD9" w:rsidRDefault="008942CD">
            <w:hyperlink r:id="rId6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167.161,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D30DD9" w:rsidRDefault="008942CD">
            <w:hyperlink r:id="rId7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167.171,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D30DD9" w:rsidRDefault="008942CD">
            <w:hyperlink r:id="rId8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</w:t>
            </w:r>
            <w:r>
              <w:rPr>
                <w:rFonts w:ascii="Lato"/>
              </w:rPr>
              <w:t xml:space="preserve">95.017,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D30DD9" w:rsidRDefault="008942CD">
            <w:hyperlink r:id="rId9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577.625,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D30DD9" w:rsidRDefault="008942CD">
            <w:hyperlink r:id="rId10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</w:t>
              </w:r>
              <w:r>
                <w:rPr>
                  <w:rFonts w:ascii="Lato"/>
                  <w:color w:val="0563C1" w:themeColor="hyperlink"/>
                  <w:u w:val="single"/>
                </w:rPr>
                <w:t>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577.628,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D30DD9" w:rsidRDefault="008942CD">
            <w:hyperlink r:id="rId11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578.250-.265,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D30DD9" w:rsidRDefault="008942CD">
            <w:hyperlink r:id="rId12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 xml:space="preserve">Mo. Const. art. XIV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1-2</w:t>
            </w:r>
          </w:p>
        </w:tc>
        <w:tc>
          <w:tcPr>
            <w:tcW w:w="5961" w:type="dxa"/>
          </w:tcPr>
          <w:p w:rsidR="00D30DD9" w:rsidRDefault="008942CD">
            <w:hyperlink r:id="rId13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 Black"/>
                <w:b/>
              </w:rPr>
              <w:t>Federal</w:t>
            </w:r>
          </w:p>
        </w:tc>
        <w:tc>
          <w:tcPr>
            <w:tcW w:w="5961" w:type="dxa"/>
          </w:tcPr>
          <w:p w:rsidR="00D30DD9" w:rsidRDefault="008942CD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 xml:space="preserve">20 U.S.C. 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7102-7165</w:t>
            </w:r>
          </w:p>
        </w:tc>
        <w:tc>
          <w:tcPr>
            <w:tcW w:w="5961" w:type="dxa"/>
          </w:tcPr>
          <w:p w:rsidR="00D30DD9" w:rsidRDefault="008942CD">
            <w:hyperlink r:id="rId14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>Safe and Drug-Free Schools and Community Act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 xml:space="preserve">20 U.S.C.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1400-1417</w:t>
            </w:r>
          </w:p>
        </w:tc>
        <w:tc>
          <w:tcPr>
            <w:tcW w:w="5961" w:type="dxa"/>
          </w:tcPr>
          <w:p w:rsidR="00D30DD9" w:rsidRDefault="008942CD">
            <w:hyperlink r:id="rId15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>Individuals with Disabilities Education Act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 xml:space="preserve">21 U.S.C.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812(c)</w:t>
            </w:r>
          </w:p>
        </w:tc>
        <w:tc>
          <w:tcPr>
            <w:tcW w:w="5961" w:type="dxa"/>
          </w:tcPr>
          <w:p w:rsidR="00D30DD9" w:rsidRDefault="008942CD">
            <w:hyperlink r:id="rId16" w:docLocation="http://uscode.house.gov/">
              <w:r>
                <w:rPr>
                  <w:rFonts w:ascii="Lato"/>
                  <w:color w:val="0563C1" w:themeColor="hyperlink"/>
                  <w:u w:val="single"/>
                </w:rPr>
                <w:t>Federal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 xml:space="preserve">21 U.S.C. </w:t>
            </w: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841, 844, 860</w:t>
            </w:r>
          </w:p>
        </w:tc>
        <w:tc>
          <w:tcPr>
            <w:tcW w:w="5961" w:type="dxa"/>
          </w:tcPr>
          <w:p w:rsidR="00D30DD9" w:rsidRDefault="008942CD">
            <w:hyperlink r:id="rId17" w:docLocation="https://uscode.house.gov/">
              <w:r>
                <w:rPr>
                  <w:rFonts w:ascii="Lato"/>
                  <w:color w:val="0563C1" w:themeColor="hyperlink"/>
                  <w:u w:val="single"/>
                </w:rPr>
                <w:t>Federal Statute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 xml:space="preserve">34 C.F.R.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300.520</w:t>
            </w:r>
          </w:p>
        </w:tc>
        <w:tc>
          <w:tcPr>
            <w:tcW w:w="5961" w:type="dxa"/>
          </w:tcPr>
          <w:p w:rsidR="00D30DD9" w:rsidRDefault="008942CD">
            <w:hyperlink r:id="rId18" w:docLocation="http://www.law.cornell.edu/cfr/text">
              <w:r>
                <w:rPr>
                  <w:rFonts w:ascii="Lato"/>
                  <w:color w:val="0563C1" w:themeColor="hyperlink"/>
                  <w:u w:val="single"/>
                </w:rPr>
                <w:t>Federal Regulation</w:t>
              </w:r>
            </w:hyperlink>
          </w:p>
        </w:tc>
      </w:tr>
    </w:tbl>
    <w:p w:rsidR="00000000" w:rsidRDefault="008942CD">
      <w:pPr>
        <w:shd w:val="clear" w:color="auto" w:fill="F9F9F9"/>
        <w:spacing w:line="480" w:lineRule="auto"/>
        <w:divId w:val="1478762923"/>
        <w:rPr>
          <w:rFonts w:ascii="Lato Black" w:eastAsia="Times New Roman" w:hAnsi="Lato Black"/>
          <w:b/>
          <w:bCs/>
        </w:rPr>
      </w:pPr>
      <w:r>
        <w:rPr>
          <w:rFonts w:ascii="Lato Black" w:eastAsia="Times New Roman" w:hAnsi="Lato Black"/>
          <w:b/>
          <w:bCs/>
        </w:rPr>
        <w:t>Cross References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 Black"/>
                <w:b/>
              </w:rPr>
              <w:t>Code</w:t>
            </w:r>
          </w:p>
        </w:tc>
        <w:tc>
          <w:tcPr>
            <w:tcW w:w="5961" w:type="dxa"/>
          </w:tcPr>
          <w:p w:rsidR="00D30DD9" w:rsidRDefault="008942CD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lastRenderedPageBreak/>
              <w:t>GBEBA</w:t>
            </w:r>
          </w:p>
        </w:tc>
        <w:tc>
          <w:tcPr>
            <w:tcW w:w="5961" w:type="dxa"/>
          </w:tcPr>
          <w:p w:rsidR="00D30DD9" w:rsidRDefault="008942CD">
            <w:hyperlink r:id="rId19" w:docLocation="https://simbli.eboardsolutions.com/Policy/ViewPolicy.aspx?S=36031111&amp;revid=aSBVxzmxdTVeX437UFmJIw==">
              <w:r>
                <w:rPr>
                  <w:rFonts w:ascii="Lato"/>
                  <w:color w:val="0563C1" w:themeColor="hyperlink"/>
                  <w:u w:val="single"/>
                </w:rPr>
                <w:t>DRUG-FREE WORKPLACE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GBEBA-AF(1)</w:t>
            </w:r>
          </w:p>
        </w:tc>
        <w:tc>
          <w:tcPr>
            <w:tcW w:w="5961" w:type="dxa"/>
          </w:tcPr>
          <w:p w:rsidR="00D30DD9" w:rsidRDefault="008942CD">
            <w:hyperlink r:id="rId20" w:docLocation="https://simbli.eboardsolutions.com/Policy/ViewPolicy.aspx?S=36031111&amp;revid=Y5HKwmz29ECIgg6kgtsplusqw==">
              <w:r>
                <w:rPr>
                  <w:rFonts w:ascii="Lato"/>
                  <w:color w:val="0563C1" w:themeColor="hyperlink"/>
                  <w:u w:val="single"/>
                </w:rPr>
                <w:t>DRUG-FREE WORKPLACE - (Noti</w:t>
              </w:r>
              <w:r>
                <w:rPr>
                  <w:rFonts w:ascii="Lato"/>
                  <w:color w:val="0563C1" w:themeColor="hyperlink"/>
                  <w:u w:val="single"/>
                </w:rPr>
                <w:t>ce)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IGAEA</w:t>
            </w:r>
          </w:p>
        </w:tc>
        <w:tc>
          <w:tcPr>
            <w:tcW w:w="5961" w:type="dxa"/>
          </w:tcPr>
          <w:p w:rsidR="00D30DD9" w:rsidRDefault="008942CD">
            <w:hyperlink r:id="rId21" w:docLocation="https://simbli.eboardsolutions.com/Policy/ViewPolicy.aspx?S=36031111&amp;revid=YuUbpGslshYE3oh3ndoH4yMLg==">
              <w:r>
                <w:rPr>
                  <w:rFonts w:ascii="Lato"/>
                  <w:color w:val="0563C1" w:themeColor="hyperlink"/>
                  <w:u w:val="single"/>
                </w:rPr>
                <w:t xml:space="preserve">TEACHING ABOUT </w:t>
              </w:r>
              <w:r>
                <w:rPr>
                  <w:rFonts w:ascii="Lato"/>
                  <w:color w:val="0563C1" w:themeColor="hyperlink"/>
                  <w:u w:val="single"/>
                </w:rPr>
                <w:t>DRUGS, ALCOHOL AND TOBACCO</w:t>
              </w:r>
            </w:hyperlink>
          </w:p>
        </w:tc>
      </w:tr>
      <w:tr w:rsidR="00D30DD9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D30DD9" w:rsidRDefault="008942CD">
            <w:pPr>
              <w:spacing w:after="0"/>
            </w:pPr>
            <w:r>
              <w:rPr>
                <w:rFonts w:ascii="Lato"/>
              </w:rPr>
              <w:t>IGAEA-AP(1)</w:t>
            </w:r>
          </w:p>
        </w:tc>
        <w:tc>
          <w:tcPr>
            <w:tcW w:w="5961" w:type="dxa"/>
          </w:tcPr>
          <w:p w:rsidR="00D30DD9" w:rsidRDefault="008942CD">
            <w:hyperlink r:id="rId22" w:docLocation="https://simbli.eboardsolutions.com/Policy/ViewPolicy.aspx?S=36031111&amp;revid=oBrj9wVCMEwqmjhuUHaCcA==">
              <w:r>
                <w:rPr>
                  <w:rFonts w:ascii="Lato"/>
                  <w:color w:val="0563C1" w:themeColor="hyperlink"/>
                  <w:u w:val="single"/>
                </w:rPr>
                <w:t>TEACHING ABOUT DRUGS, ALCOHOL AND TOBACCO - (Tobacco Use Prevention Education)</w:t>
              </w:r>
            </w:hyperlink>
          </w:p>
        </w:tc>
      </w:tr>
    </w:tbl>
    <w:p w:rsidR="00000000" w:rsidRDefault="008942CD"/>
    <w:sectPr w:rsidR="00000000">
      <w:pgSz w:w="12240" w:h="15840"/>
      <w:pgMar w:top="617" w:right="1200" w:bottom="402" w:left="14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E283E"/>
    <w:multiLevelType w:val="multilevel"/>
    <w:tmpl w:val="3C82C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D9"/>
    <w:rsid w:val="008942CD"/>
    <w:rsid w:val="00D3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7AE86"/>
  <w15:docId w15:val="{4A149160-BEE2-46F6-AA52-21105F58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ice-no-decoration">
    <w:name w:val="ice-no-decoration"/>
    <w:basedOn w:val="DefaultParagraphFont"/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2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29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visor.mo.gov/main/Home.aspx" TargetMode="External"/><Relationship Id="rId13" Type="http://schemas.openxmlformats.org/officeDocument/2006/relationships/hyperlink" Target="https://revisor.mo.gov/main/Home.aspx" TargetMode="External"/><Relationship Id="rId18" Type="http://schemas.openxmlformats.org/officeDocument/2006/relationships/hyperlink" Target="http://www.law.cornell.edu/cfr/tex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mbli.eboardsolutions.com/Policy/ViewPolicy.aspx?S=36031111&amp;revid=YuUbpGslshYE3oh3ndoH4yMLg==" TargetMode="External"/><Relationship Id="rId7" Type="http://schemas.openxmlformats.org/officeDocument/2006/relationships/hyperlink" Target="https://revisor.mo.gov/main/Home.aspx" TargetMode="External"/><Relationship Id="rId12" Type="http://schemas.openxmlformats.org/officeDocument/2006/relationships/hyperlink" Target="https://revisor.mo.gov/main/Home.aspx" TargetMode="External"/><Relationship Id="rId17" Type="http://schemas.openxmlformats.org/officeDocument/2006/relationships/hyperlink" Target="https://uscode.house.gov/" TargetMode="External"/><Relationship Id="rId2" Type="http://schemas.openxmlformats.org/officeDocument/2006/relationships/styles" Target="styles.xml"/><Relationship Id="rId16" Type="http://schemas.openxmlformats.org/officeDocument/2006/relationships/hyperlink" Target="http://uscode.house.gov/" TargetMode="External"/><Relationship Id="rId20" Type="http://schemas.openxmlformats.org/officeDocument/2006/relationships/hyperlink" Target="https://simbli.eboardsolutions.com/Policy/ViewPolicy.aspx?S=36031111&amp;revid=Y5HKwmz29ECIgg6kgtsplusqw==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visor.mo.gov/main/Home.aspx" TargetMode="External"/><Relationship Id="rId11" Type="http://schemas.openxmlformats.org/officeDocument/2006/relationships/hyperlink" Target="https://revisor.mo.gov/main/Home.aspx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evisor.mo.gov/main/Home.aspx" TargetMode="External"/><Relationship Id="rId15" Type="http://schemas.openxmlformats.org/officeDocument/2006/relationships/hyperlink" Target="http://uscode.house.gov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visor.mo.gov/main/Home.aspx" TargetMode="External"/><Relationship Id="rId19" Type="http://schemas.openxmlformats.org/officeDocument/2006/relationships/hyperlink" Target="https://simbli.eboardsolutions.com/Policy/ViewPolicy.aspx?S=36031111&amp;revid=aSBVxzmxdTVeX437UFmJIw=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visor.mo.gov/main/Home.aspx" TargetMode="External"/><Relationship Id="rId14" Type="http://schemas.openxmlformats.org/officeDocument/2006/relationships/hyperlink" Target="http://uscode.house.gov/" TargetMode="External"/><Relationship Id="rId22" Type="http://schemas.openxmlformats.org/officeDocument/2006/relationships/hyperlink" Target="https://simbli.eboardsolutions.com/Policy/ViewPolicy.aspx?S=36031111&amp;revid=oBrj9wVCMEwqmjhuUHaCcA=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Emily Hilsabeck</dc:creator>
  <cp:lastModifiedBy>Emily Hilsabeck</cp:lastModifiedBy>
  <cp:revision>2</cp:revision>
  <dcterms:created xsi:type="dcterms:W3CDTF">2024-12-31T22:32:00Z</dcterms:created>
  <dcterms:modified xsi:type="dcterms:W3CDTF">2024-12-31T22:32:00Z</dcterms:modified>
</cp:coreProperties>
</file>