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B20" w:rsidRDefault="00AD3DD0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985B20" w:rsidRDefault="00AD3DD0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985B20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Policy JFCI-1: STUDENT ALCOHOL AND DRUG TESTING</w:t>
            </w:r>
          </w:p>
        </w:tc>
        <w:tc>
          <w:tcPr>
            <w:tcW w:w="1000" w:type="pct"/>
            <w:shd w:val="clear" w:color="auto" w:fill="EFEFEF"/>
          </w:tcPr>
          <w:p w:rsidR="00985B20" w:rsidRDefault="00AD3DD0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985B20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985B20" w:rsidRDefault="00AD3DD0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12/14/2023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05/15/2024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EFEFEF"/>
          </w:tcPr>
          <w:p w:rsidR="00985B20" w:rsidRDefault="00985B20">
            <w:pPr>
              <w:spacing w:after="0"/>
            </w:pPr>
          </w:p>
        </w:tc>
      </w:tr>
    </w:tbl>
    <w:p w:rsidR="00985B20" w:rsidRDefault="00985B20">
      <w:pPr>
        <w:spacing w:after="30"/>
        <w:jc w:val="right"/>
      </w:pPr>
    </w:p>
    <w:p w:rsidR="00000000" w:rsidRDefault="00AD3DD0">
      <w:pPr>
        <w:pStyle w:val="Heading3"/>
        <w:jc w:val="center"/>
        <w:divId w:val="411506148"/>
        <w:rPr>
          <w:rFonts w:ascii="Lato" w:eastAsia="Times New Roman" w:hAnsi="Lato"/>
        </w:rPr>
      </w:pPr>
      <w:r>
        <w:rPr>
          <w:rStyle w:val="ice-no-decoration"/>
          <w:rFonts w:ascii="Lato" w:eastAsia="Times New Roman" w:hAnsi="Lato"/>
          <w:i/>
          <w:iCs/>
        </w:rPr>
        <w:t>(District Does Not Perform Random Drug Testing</w:t>
      </w:r>
      <w:r>
        <w:rPr>
          <w:rStyle w:val="ice-no-decoration"/>
          <w:rFonts w:ascii="Lato" w:eastAsia="Times New Roman" w:hAnsi="Lato"/>
          <w:i/>
          <w:iCs/>
        </w:rPr>
        <w:t>)</w:t>
      </w:r>
    </w:p>
    <w:p w:rsidR="00000000" w:rsidRDefault="00AD3DD0">
      <w:pPr>
        <w:divId w:val="411506148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t>The board recognizes the importance of protecting the health and safety of students from the impact of using illegal drugs, performance-enhancing drugs, and alcohol. The purpose of this policy is to help prevent student substance use, encourage treatment f</w:t>
      </w:r>
      <w:r>
        <w:rPr>
          <w:rFonts w:ascii="Lato" w:eastAsia="Times New Roman" w:hAnsi="Lato"/>
        </w:rPr>
        <w:t>or students who use substances, and ensure that students can attend school and participate in activities in a safe and healthy environment.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 xml:space="preserve">The board directs the superintendent or designee to create appropriate administrative procedures to implement this </w:t>
      </w:r>
      <w:r>
        <w:rPr>
          <w:rFonts w:ascii="Lato" w:eastAsia="Times New Roman" w:hAnsi="Lato"/>
        </w:rPr>
        <w:t xml:space="preserve">policy. </w:t>
      </w:r>
    </w:p>
    <w:p w:rsidR="00000000" w:rsidRDefault="00AD3DD0">
      <w:pPr>
        <w:pStyle w:val="Heading3"/>
        <w:divId w:val="411506148"/>
        <w:rPr>
          <w:rFonts w:ascii="Lato" w:eastAsia="Times New Roman" w:hAnsi="Lato"/>
        </w:rPr>
      </w:pPr>
      <w:r>
        <w:rPr>
          <w:rFonts w:ascii="Lato" w:eastAsia="Times New Roman" w:hAnsi="Lato"/>
        </w:rPr>
        <w:t>Reasonable Suspicion Drug and Alcohol Testing</w:t>
      </w:r>
    </w:p>
    <w:p w:rsidR="00000000" w:rsidRDefault="00AD3DD0">
      <w:pPr>
        <w:divId w:val="411506148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A drug or alcohol test is not necessary to discipline a student when there is evidence that the student is under the influence of or has recently consumed alcohol or any drug prohibited by district po</w:t>
      </w:r>
      <w:r>
        <w:rPr>
          <w:rFonts w:ascii="Lato" w:eastAsia="Times New Roman" w:hAnsi="Lato"/>
        </w:rPr>
        <w:t xml:space="preserve">licy. In accordance with law, district administrators </w:t>
      </w:r>
      <w:proofErr w:type="gramStart"/>
      <w:r>
        <w:rPr>
          <w:rFonts w:ascii="Lato" w:eastAsia="Times New Roman" w:hAnsi="Lato"/>
        </w:rPr>
        <w:t>may, at their discretion, utilize</w:t>
      </w:r>
      <w:proofErr w:type="gramEnd"/>
      <w:r>
        <w:rPr>
          <w:rFonts w:ascii="Lato" w:eastAsia="Times New Roman" w:hAnsi="Lato"/>
        </w:rPr>
        <w:t xml:space="preserve"> drug and alcohol testing to assist with student discipline when there is reasonable suspicion that a student has consumed drugs or alcohol and is on district property o</w:t>
      </w:r>
      <w:r>
        <w:rPr>
          <w:rFonts w:ascii="Lato" w:eastAsia="Times New Roman" w:hAnsi="Lato"/>
        </w:rPr>
        <w:t>r at a district activity.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Students who test positive will be disciplined and excluded from extracurricular activities in accordance with the district's discipline policy and may also be excluded from the district's A+ scholarship program. Students who ref</w:t>
      </w:r>
      <w:r>
        <w:rPr>
          <w:rFonts w:ascii="Lato" w:eastAsia="Times New Roman" w:hAnsi="Lato"/>
        </w:rPr>
        <w:t xml:space="preserve">use to submit to testing or take measures to falsify results </w:t>
      </w:r>
      <w:proofErr w:type="gramStart"/>
      <w:r>
        <w:rPr>
          <w:rFonts w:ascii="Lato" w:eastAsia="Times New Roman" w:hAnsi="Lato"/>
        </w:rPr>
        <w:t>may still be disciplined</w:t>
      </w:r>
      <w:proofErr w:type="gramEnd"/>
      <w:r>
        <w:rPr>
          <w:rFonts w:ascii="Lato" w:eastAsia="Times New Roman" w:hAnsi="Lato"/>
        </w:rPr>
        <w:t xml:space="preserve"> under the district's discipline code for being under the influence of alcohol or drugs.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The board encourages the superintendent or designee to consider alternative disci</w:t>
      </w:r>
      <w:r>
        <w:rPr>
          <w:rFonts w:ascii="Lato" w:eastAsia="Times New Roman" w:hAnsi="Lato"/>
        </w:rPr>
        <w:t xml:space="preserve">pline for students who are willing to seek treatment or counseling options. </w:t>
      </w:r>
    </w:p>
    <w:p w:rsidR="00000000" w:rsidRDefault="00AD3DD0">
      <w:pPr>
        <w:pStyle w:val="Heading4"/>
        <w:divId w:val="411506148"/>
        <w:rPr>
          <w:rFonts w:ascii="Lato" w:eastAsia="Times New Roman" w:hAnsi="Lato"/>
        </w:rPr>
      </w:pPr>
      <w:r>
        <w:rPr>
          <w:rStyle w:val="Emphasis"/>
          <w:rFonts w:ascii="Lato" w:eastAsia="Times New Roman" w:hAnsi="Lato"/>
        </w:rPr>
        <w:t>Marijuana and Reasonable Suspicion Testing</w:t>
      </w:r>
    </w:p>
    <w:p w:rsidR="00000000" w:rsidRDefault="00AD3DD0">
      <w:pPr>
        <w:divId w:val="411506148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Students suspected of being under the influence who test positive for marijuana </w:t>
      </w:r>
      <w:proofErr w:type="gramStart"/>
      <w:r>
        <w:rPr>
          <w:rFonts w:ascii="Lato" w:eastAsia="Times New Roman" w:hAnsi="Lato"/>
        </w:rPr>
        <w:t>may be removed</w:t>
      </w:r>
      <w:proofErr w:type="gramEnd"/>
      <w:r>
        <w:rPr>
          <w:rFonts w:ascii="Lato" w:eastAsia="Times New Roman" w:hAnsi="Lato"/>
        </w:rPr>
        <w:t xml:space="preserve"> from school or activities and may be appr</w:t>
      </w:r>
      <w:r>
        <w:rPr>
          <w:rFonts w:ascii="Lato" w:eastAsia="Times New Roman" w:hAnsi="Lato"/>
        </w:rPr>
        <w:t>opriately disciplined even if they have a valid, Missouri-issued medical marijuana card.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  <w:sz w:val="17"/>
          <w:szCs w:val="17"/>
        </w:rPr>
        <w:t>© 2023 Missouri School Boards' Association</w:t>
      </w:r>
      <w:r>
        <w:rPr>
          <w:rFonts w:ascii="Lato" w:eastAsia="Times New Roman" w:hAnsi="Lato"/>
          <w:sz w:val="17"/>
          <w:szCs w:val="17"/>
        </w:rPr>
        <w:br/>
        <w:t>Version JFCI-1C.1A (11/23)</w:t>
      </w:r>
      <w:r>
        <w:rPr>
          <w:rFonts w:ascii="Lato" w:eastAsia="Times New Roman" w:hAnsi="Lato"/>
        </w:rPr>
        <w:t xml:space="preserve"> </w:t>
      </w:r>
    </w:p>
    <w:p w:rsidR="00985B20" w:rsidRDefault="00985B20">
      <w:pPr>
        <w:pBdr>
          <w:bottom w:val="single" w:sz="5" w:space="1" w:color="auto"/>
        </w:pBdr>
      </w:pPr>
    </w:p>
    <w:p w:rsidR="00000000" w:rsidRDefault="00AD3DD0">
      <w:pPr>
        <w:divId w:val="1682123281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AD3DD0">
      <w:pPr>
        <w:pStyle w:val="Heading2"/>
        <w:shd w:val="clear" w:color="auto" w:fill="FFFFFF"/>
        <w:spacing w:before="0" w:beforeAutospacing="0" w:after="0" w:afterAutospacing="0"/>
        <w:textAlignment w:val="baseline"/>
        <w:divId w:val="1923487336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AD3DD0">
      <w:pPr>
        <w:divId w:val="1923487336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lastRenderedPageBreak/>
              <w:t>§§</w:t>
            </w:r>
            <w:r>
              <w:rPr>
                <w:rFonts w:ascii="Lato"/>
              </w:rPr>
              <w:t xml:space="preserve"> 167.115, .117, .161, .171, 195.010, .017,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985B20" w:rsidRDefault="00AD3DD0">
            <w:hyperlink r:id="rId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577.625, .628, 578.250 - .265,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985B20" w:rsidRDefault="00AD3DD0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 xml:space="preserve">Mo. Const. art. XIV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1-2</w:t>
            </w:r>
          </w:p>
        </w:tc>
        <w:tc>
          <w:tcPr>
            <w:tcW w:w="5961" w:type="dxa"/>
          </w:tcPr>
          <w:p w:rsidR="00985B20" w:rsidRDefault="00AD3DD0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F</w:t>
            </w:r>
            <w:r>
              <w:rPr>
                <w:rFonts w:ascii="Lato Black"/>
                <w:b/>
              </w:rPr>
              <w:t>ederal</w:t>
            </w:r>
          </w:p>
        </w:tc>
        <w:tc>
          <w:tcPr>
            <w:tcW w:w="5961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 xml:space="preserve">20 U.S.C.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7101 </w:t>
            </w:r>
            <w:r>
              <w:rPr>
                <w:rFonts w:ascii="Lato"/>
              </w:rPr>
              <w:t>–</w:t>
            </w:r>
            <w:r>
              <w:rPr>
                <w:rFonts w:ascii="Lato"/>
              </w:rPr>
              <w:t xml:space="preserve"> 7165</w:t>
            </w:r>
          </w:p>
        </w:tc>
        <w:tc>
          <w:tcPr>
            <w:tcW w:w="5961" w:type="dxa"/>
          </w:tcPr>
          <w:p w:rsidR="00985B20" w:rsidRDefault="00AD3DD0">
            <w:hyperlink r:id="rId7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Safe and Drug-Free Schools and Communities Act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 xml:space="preserve">21 U.S.C.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812(c), 841, 844, 860</w:t>
            </w:r>
          </w:p>
        </w:tc>
        <w:tc>
          <w:tcPr>
            <w:tcW w:w="5961" w:type="dxa"/>
          </w:tcPr>
          <w:p w:rsidR="00985B20" w:rsidRDefault="00AD3DD0">
            <w:hyperlink r:id="rId8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Federal Statute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 xml:space="preserve">34 C.F.R.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300.520</w:t>
            </w:r>
          </w:p>
        </w:tc>
        <w:tc>
          <w:tcPr>
            <w:tcW w:w="5961" w:type="dxa"/>
          </w:tcPr>
          <w:p w:rsidR="00985B20" w:rsidRDefault="00AD3DD0">
            <w:hyperlink r:id="rId9" w:docLocation="http://www.law.cornell.edu/cfr/text">
              <w:r>
                <w:rPr>
                  <w:rFonts w:ascii="Lato"/>
                  <w:color w:val="0563C1" w:themeColor="hyperlink"/>
                  <w:u w:val="single"/>
                </w:rPr>
                <w:t>Federal Regulation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FEDERAL COURT</w:t>
            </w:r>
          </w:p>
        </w:tc>
        <w:tc>
          <w:tcPr>
            <w:tcW w:w="5961" w:type="dxa"/>
          </w:tcPr>
          <w:p w:rsidR="00985B20" w:rsidRDefault="00AD3DD0">
            <w:hyperlink r:id="rId10" w:docLocation="http://www.findlaw.com/casecode/supreme.html">
              <w:r>
                <w:rPr>
                  <w:rFonts w:ascii="Lato"/>
                  <w:color w:val="0563C1" w:themeColor="hyperlink"/>
                  <w:u w:val="single"/>
                </w:rPr>
                <w:t>Board of Educ. of Ind. Sch. Dist. No. 92 of Pottawatomie County v. Earls, 536 U.S. 822 (2002)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FEDERAL COURT</w:t>
            </w:r>
          </w:p>
        </w:tc>
        <w:tc>
          <w:tcPr>
            <w:tcW w:w="5961" w:type="dxa"/>
          </w:tcPr>
          <w:p w:rsidR="00985B20" w:rsidRDefault="00AD3DD0">
            <w:hyperlink r:id="rId11" w:docLocation="http://www.findlaw.com/casecode/supreme.html">
              <w:proofErr w:type="spellStart"/>
              <w:r>
                <w:rPr>
                  <w:rFonts w:ascii="Lato"/>
                  <w:color w:val="0563C1" w:themeColor="hyperlink"/>
                  <w:u w:val="single"/>
                </w:rPr>
                <w:t>Vernonia</w:t>
              </w:r>
              <w:proofErr w:type="spellEnd"/>
              <w:r>
                <w:rPr>
                  <w:rFonts w:ascii="Lato"/>
                  <w:color w:val="0563C1" w:themeColor="hyperlink"/>
                  <w:u w:val="single"/>
                </w:rPr>
                <w:t xml:space="preserve"> Sch. Dist. v. Acton, 515 U.S. 646 (1995)</w:t>
              </w:r>
            </w:hyperlink>
          </w:p>
        </w:tc>
      </w:tr>
    </w:tbl>
    <w:p w:rsidR="00000000" w:rsidRDefault="00AD3DD0">
      <w:pPr>
        <w:shd w:val="clear" w:color="auto" w:fill="F9F9F9"/>
        <w:spacing w:line="480" w:lineRule="auto"/>
        <w:divId w:val="334118467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985B20" w:rsidRDefault="00AD3DD0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IGAEA</w:t>
            </w:r>
          </w:p>
        </w:tc>
        <w:tc>
          <w:tcPr>
            <w:tcW w:w="5961" w:type="dxa"/>
          </w:tcPr>
          <w:p w:rsidR="00985B20" w:rsidRDefault="00AD3DD0">
            <w:hyperlink r:id="rId12" w:docLocation="https://simbli.eboardsolutions.com/Policy/ViewPolicy.aspx?S=36031111&amp;revid=YuUbpGslshYE3oh3ndoH4yMLg==">
              <w:r>
                <w:rPr>
                  <w:rFonts w:ascii="Lato"/>
                  <w:color w:val="0563C1" w:themeColor="hyperlink"/>
                  <w:u w:val="single"/>
                </w:rPr>
                <w:t>TEACHING ABOUT DRUGS, ALCOHO</w:t>
              </w:r>
              <w:r>
                <w:rPr>
                  <w:rFonts w:ascii="Lato"/>
                  <w:color w:val="0563C1" w:themeColor="hyperlink"/>
                  <w:u w:val="single"/>
                </w:rPr>
                <w:t>L AND TOBACCO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IGAEA-AP(1)</w:t>
            </w:r>
          </w:p>
        </w:tc>
        <w:tc>
          <w:tcPr>
            <w:tcW w:w="5961" w:type="dxa"/>
          </w:tcPr>
          <w:p w:rsidR="00985B20" w:rsidRDefault="00AD3DD0">
            <w:hyperlink r:id="rId13" w:docLocation="https://simbli.eboardsolutions.com/Policy/ViewPolicy.aspx?S=36031111&amp;revid=oBrj9wVCMEwqmjhuUHaCcA==">
              <w:r>
                <w:rPr>
                  <w:rFonts w:ascii="Lato"/>
                  <w:color w:val="0563C1" w:themeColor="hyperlink"/>
                  <w:u w:val="single"/>
                </w:rPr>
                <w:t>TEACH</w:t>
              </w:r>
              <w:r>
                <w:rPr>
                  <w:rFonts w:ascii="Lato"/>
                  <w:color w:val="0563C1" w:themeColor="hyperlink"/>
                  <w:u w:val="single"/>
                </w:rPr>
                <w:t>ING ABOUT DRUGS, ALCOHOL AND TOBACCO - (Tobacco Use Prevention Education)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IGD</w:t>
            </w:r>
          </w:p>
        </w:tc>
        <w:tc>
          <w:tcPr>
            <w:tcW w:w="5961" w:type="dxa"/>
          </w:tcPr>
          <w:p w:rsidR="00985B20" w:rsidRDefault="00AD3DD0">
            <w:hyperlink r:id="rId14" w:docLocation="https://simbli.eboardsolutions.com/Policy/ViewPolicy.aspx?S=36031111&amp;revid=WcaHysyKmIvaCdKgt4ABaA==">
              <w:r>
                <w:rPr>
                  <w:rFonts w:ascii="Lato"/>
                  <w:color w:val="0563C1" w:themeColor="hyperlink"/>
                  <w:u w:val="single"/>
                </w:rPr>
                <w:t>DISTRICT-SPONSORED EXTRACURRICULAR ACTIVITIES AND GROUPS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IGD-AP(1)</w:t>
            </w:r>
          </w:p>
        </w:tc>
        <w:tc>
          <w:tcPr>
            <w:tcW w:w="5961" w:type="dxa"/>
          </w:tcPr>
          <w:p w:rsidR="00985B20" w:rsidRDefault="00AD3DD0">
            <w:hyperlink r:id="rId15" w:docLocation="https://simbli.eboardsolutions.com/Policy/ViewPolicy.aspx?S=36031111&amp;revid=nMKisvFVOjn6qVmsE8ZLpw==">
              <w:r>
                <w:rPr>
                  <w:rFonts w:ascii="Lato"/>
                  <w:color w:val="0563C1" w:themeColor="hyperlink"/>
                  <w:u w:val="single"/>
                </w:rPr>
                <w:t>DISTRICT-SPONSORED EXTRACURRICULAR ACTIVITIES AND GROUPS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IGD-AF(1)</w:t>
            </w:r>
          </w:p>
        </w:tc>
        <w:tc>
          <w:tcPr>
            <w:tcW w:w="5961" w:type="dxa"/>
          </w:tcPr>
          <w:p w:rsidR="00985B20" w:rsidRDefault="00AD3DD0">
            <w:hyperlink r:id="rId16" w:docLocation="https://simbli.eboardsolutions.com/Policy/ViewPolicy.aspx?S=36031111&amp;revid=ISjYPwvplusiE4mhuPvGeO4Fw==">
              <w:r>
                <w:rPr>
                  <w:rFonts w:ascii="Lato"/>
                  <w:color w:val="0563C1" w:themeColor="hyperlink"/>
                  <w:u w:val="single"/>
                </w:rPr>
                <w:t>DISTRICT-SPONSORED EXTRACURR</w:t>
              </w:r>
              <w:r>
                <w:rPr>
                  <w:rFonts w:ascii="Lato"/>
                  <w:color w:val="0563C1" w:themeColor="hyperlink"/>
                  <w:u w:val="single"/>
                </w:rPr>
                <w:t>ICULAR ACTIVITIES AND GROUPS - (Application for Approval of Clubs or Groups)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IGD-AF(2)</w:t>
            </w:r>
          </w:p>
        </w:tc>
        <w:tc>
          <w:tcPr>
            <w:tcW w:w="5961" w:type="dxa"/>
          </w:tcPr>
          <w:p w:rsidR="00985B20" w:rsidRDefault="00AD3DD0">
            <w:hyperlink r:id="rId17" w:docLocation="https://simbli.eboardsolutions.com/Policy/ViewPolicy.aspx?S=36031111&amp;revid=2xIMLIIE9A8gQIDrY4nIEw==">
              <w:r>
                <w:rPr>
                  <w:rFonts w:ascii="Lato"/>
                  <w:color w:val="0563C1" w:themeColor="hyperlink"/>
                  <w:u w:val="single"/>
                </w:rPr>
                <w:t>DISTRICT-SPONSORED EXTRACURRICULAR ACTIVITIES AND GROUPS - (Semester Declaration for Home-Schooled Student Participation in MSHSAA-Governed Activities)</w:t>
              </w:r>
            </w:hyperlink>
          </w:p>
        </w:tc>
      </w:tr>
      <w:tr w:rsidR="00985B20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985B20" w:rsidRDefault="00AD3DD0">
            <w:pPr>
              <w:spacing w:after="0"/>
            </w:pPr>
            <w:r>
              <w:rPr>
                <w:rFonts w:ascii="Lato"/>
              </w:rPr>
              <w:t>IGD-AF(3)</w:t>
            </w:r>
          </w:p>
        </w:tc>
        <w:tc>
          <w:tcPr>
            <w:tcW w:w="5961" w:type="dxa"/>
          </w:tcPr>
          <w:p w:rsidR="00985B20" w:rsidRDefault="00AD3DD0">
            <w:hyperlink r:id="rId18" w:docLocation="https://simbli.eboardsolutions.com/Policy/ViewPolicy.aspx?S=36031111&amp;revid=slshd8tF1Ku6slshALsq2Ho6mt5g==">
              <w:r>
                <w:rPr>
                  <w:rFonts w:ascii="Lato"/>
                  <w:color w:val="0563C1" w:themeColor="hyperlink"/>
                  <w:u w:val="single"/>
                </w:rPr>
                <w:t xml:space="preserve">DISTRICT-SPONSORED EXTRACURRICULAR ACTIVITIES AND GROUPS </w:t>
              </w:r>
              <w:r>
                <w:rPr>
                  <w:rFonts w:ascii="Lato"/>
                  <w:color w:val="0563C1" w:themeColor="hyperlink"/>
                  <w:u w:val="single"/>
                </w:rPr>
                <w:t>- (Mid-Semester Declaration for Home-Schooled Student Participation in MSHSAA-Governed Activities)</w:t>
              </w:r>
            </w:hyperlink>
          </w:p>
        </w:tc>
      </w:tr>
    </w:tbl>
    <w:p w:rsidR="00000000" w:rsidRDefault="00AD3DD0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20"/>
    <w:rsid w:val="00985B20"/>
    <w:rsid w:val="00AD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47FC3"/>
  <w15:docId w15:val="{25C1941D-11B0-458B-9D1C-93056E38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ice-no-decoration">
    <w:name w:val="ice-no-decoration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84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8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code.house.gov/" TargetMode="External"/><Relationship Id="rId13" Type="http://schemas.openxmlformats.org/officeDocument/2006/relationships/hyperlink" Target="https://simbli.eboardsolutions.com/Policy/ViewPolicy.aspx?S=36031111&amp;revid=oBrj9wVCMEwqmjhuUHaCcA==" TargetMode="External"/><Relationship Id="rId18" Type="http://schemas.openxmlformats.org/officeDocument/2006/relationships/hyperlink" Target="https://simbli.eboardsolutions.com/Policy/ViewPolicy.aspx?S=36031111&amp;revid=slshd8tF1Ku6slshALsq2Ho6mt5g==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scode.house.gov/" TargetMode="External"/><Relationship Id="rId12" Type="http://schemas.openxmlformats.org/officeDocument/2006/relationships/hyperlink" Target="https://simbli.eboardsolutions.com/Policy/ViewPolicy.aspx?S=36031111&amp;revid=YuUbpGslshYE3oh3ndoH4yMLg==" TargetMode="External"/><Relationship Id="rId17" Type="http://schemas.openxmlformats.org/officeDocument/2006/relationships/hyperlink" Target="https://simbli.eboardsolutions.com/Policy/ViewPolicy.aspx?S=36031111&amp;revid=2xIMLIIE9A8gQIDrY4nIEw==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mbli.eboardsolutions.com/Policy/ViewPolicy.aspx?S=36031111&amp;revid=ISjYPwvplusiE4mhuPvGeO4Fw==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://www.findlaw.com/casecode/supreme.html" TargetMode="Externa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simbli.eboardsolutions.com/Policy/ViewPolicy.aspx?S=36031111&amp;revid=nMKisvFVOjn6qVmsE8ZLpw==" TargetMode="External"/><Relationship Id="rId10" Type="http://schemas.openxmlformats.org/officeDocument/2006/relationships/hyperlink" Target="http://www.findlaw.com/casecode/supreme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revisor.mo.gov/main/Home.aspx" TargetMode="External"/><Relationship Id="rId9" Type="http://schemas.openxmlformats.org/officeDocument/2006/relationships/hyperlink" Target="http://www.law.cornell.edu/cfr/text" TargetMode="External"/><Relationship Id="rId14" Type="http://schemas.openxmlformats.org/officeDocument/2006/relationships/hyperlink" Target="https://simbli.eboardsolutions.com/Policy/ViewPolicy.aspx?S=36031111&amp;revid=WcaHysyKmIvaCdKgt4ABaA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2024-12-31T22:36:00Z</dcterms:created>
  <dcterms:modified xsi:type="dcterms:W3CDTF">2024-12-31T22:36:00Z</dcterms:modified>
</cp:coreProperties>
</file>