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9E" w:rsidRDefault="00540045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BA4F9E" w:rsidRDefault="00540045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5"/>
        <w:gridCol w:w="1921"/>
      </w:tblGrid>
      <w:tr w:rsidR="00BA4F9E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Policy JED: STUDENT ABSENCES AND EXCUSES</w:t>
            </w:r>
          </w:p>
        </w:tc>
        <w:tc>
          <w:tcPr>
            <w:tcW w:w="1000" w:type="pct"/>
            <w:shd w:val="clear" w:color="auto" w:fill="EFEFEF"/>
          </w:tcPr>
          <w:p w:rsidR="00BA4F9E" w:rsidRDefault="00540045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BA4F9E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BA4F9E" w:rsidRDefault="00540045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01/23/2020</w:t>
            </w:r>
            <w:r>
              <w:rPr>
                <w:rFonts w:ascii="Lato Black"/>
                <w:b/>
                <w:sz w:val="18"/>
              </w:rPr>
              <w:t xml:space="preserve"> | Last Revised Date: </w:t>
            </w:r>
            <w:r>
              <w:rPr>
                <w:rFonts w:ascii="Lato"/>
                <w:sz w:val="18"/>
              </w:rPr>
              <w:t>10/01/2024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12/18</w:t>
            </w:r>
            <w:bookmarkStart w:id="0" w:name="_GoBack"/>
            <w:bookmarkEnd w:id="0"/>
            <w:r>
              <w:rPr>
                <w:rFonts w:ascii="Lato"/>
                <w:sz w:val="18"/>
              </w:rPr>
              <w:t>/2024</w:t>
            </w:r>
          </w:p>
        </w:tc>
        <w:tc>
          <w:tcPr>
            <w:tcW w:w="0" w:type="auto"/>
            <w:shd w:val="clear" w:color="auto" w:fill="EFEFEF"/>
          </w:tcPr>
          <w:p w:rsidR="00BA4F9E" w:rsidRDefault="00BA4F9E">
            <w:pPr>
              <w:spacing w:after="0"/>
            </w:pPr>
          </w:p>
        </w:tc>
      </w:tr>
    </w:tbl>
    <w:p w:rsidR="00BA4F9E" w:rsidRDefault="00BA4F9E">
      <w:pPr>
        <w:spacing w:after="30"/>
        <w:jc w:val="right"/>
      </w:pPr>
    </w:p>
    <w:p w:rsidR="00000000" w:rsidRDefault="00540045">
      <w:pPr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The board recognizes the importance of regular student attendance to a successful learning experience. Research supports the fact that attendance is crucial to improving student achievement. At least one study identified attendance as the single greatest i</w:t>
      </w:r>
      <w:r>
        <w:rPr>
          <w:rFonts w:ascii="Lato" w:eastAsia="Times New Roman" w:hAnsi="Lato"/>
        </w:rPr>
        <w:t xml:space="preserve">ndicator of student achievement. The board further recognizes that: </w:t>
      </w:r>
    </w:p>
    <w:p w:rsidR="00000000" w:rsidRDefault="00540045">
      <w:pPr>
        <w:numPr>
          <w:ilvl w:val="0"/>
          <w:numId w:val="1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Frequent absences of students from regular classroom learning experiences disrupt the continuity of the instructional process.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1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The benefits of classroom instruction, once lost, </w:t>
      </w:r>
      <w:proofErr w:type="gramStart"/>
      <w:r>
        <w:rPr>
          <w:rFonts w:ascii="Lato" w:eastAsia="Times New Roman" w:hAnsi="Lato"/>
        </w:rPr>
        <w:t>cannot b</w:t>
      </w:r>
      <w:r>
        <w:rPr>
          <w:rFonts w:ascii="Lato" w:eastAsia="Times New Roman" w:hAnsi="Lato"/>
        </w:rPr>
        <w:t>e entirely regained</w:t>
      </w:r>
      <w:proofErr w:type="gram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1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The entire process of education requires a regular continuity of instruction, classroom participation, learning experiences, and study in order to meet the district's student achievement goals.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1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Holding students and their parents/gu</w:t>
      </w:r>
      <w:r>
        <w:rPr>
          <w:rFonts w:ascii="Lato" w:eastAsia="Times New Roman" w:hAnsi="Lato"/>
        </w:rPr>
        <w:t>ardians responsible for attendance is part of the district's larger mission to train students to be productive citizens and employees.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1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State law reflects the importance of regular attendance by establishing compulsory school attendance and charging this </w:t>
      </w:r>
      <w:r>
        <w:rPr>
          <w:rFonts w:ascii="Lato" w:eastAsia="Times New Roman" w:hAnsi="Lato"/>
        </w:rPr>
        <w:t>board to enforce that law.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1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State law authorizes school boards to make all needful rules for organization and government in the district.</w:t>
      </w:r>
    </w:p>
    <w:p w:rsidR="00000000" w:rsidRDefault="00540045">
      <w:pPr>
        <w:spacing w:after="0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Therefore, regular and punctual patterns of attendance </w:t>
      </w:r>
      <w:proofErr w:type="gramStart"/>
      <w:r>
        <w:rPr>
          <w:rFonts w:ascii="Lato" w:eastAsia="Times New Roman" w:hAnsi="Lato"/>
        </w:rPr>
        <w:t>will be expected</w:t>
      </w:r>
      <w:proofErr w:type="gramEnd"/>
      <w:r>
        <w:rPr>
          <w:rFonts w:ascii="Lato" w:eastAsia="Times New Roman" w:hAnsi="Lato"/>
        </w:rPr>
        <w:t xml:space="preserve"> of each student enrolled in the district. </w:t>
      </w:r>
    </w:p>
    <w:p w:rsidR="00000000" w:rsidRDefault="00540045">
      <w:pPr>
        <w:pStyle w:val="Heading3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De</w:t>
      </w:r>
      <w:r>
        <w:rPr>
          <w:rFonts w:ascii="Lato" w:eastAsia="Times New Roman" w:hAnsi="Lato"/>
        </w:rPr>
        <w:t>velopment of Rules and Procedures</w:t>
      </w:r>
    </w:p>
    <w:p w:rsidR="00000000" w:rsidRDefault="00540045">
      <w:pPr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The superintendent, with the assistance of building-level administrators and other administrative and professional staff, shall establish rules and procedures for student attendance within the district. The primary purpos</w:t>
      </w:r>
      <w:r>
        <w:rPr>
          <w:rFonts w:ascii="Lato" w:eastAsia="Times New Roman" w:hAnsi="Lato"/>
        </w:rPr>
        <w:t xml:space="preserve">e of the district's attendance rules and procedures shall be to change behavior, not to punish students. Such rules and procedures </w:t>
      </w:r>
      <w:proofErr w:type="gramStart"/>
      <w:r>
        <w:rPr>
          <w:rFonts w:ascii="Lato" w:eastAsia="Times New Roman" w:hAnsi="Lato"/>
        </w:rPr>
        <w:t>shall be published</w:t>
      </w:r>
      <w:proofErr w:type="gramEnd"/>
      <w:r>
        <w:rPr>
          <w:rFonts w:ascii="Lato" w:eastAsia="Times New Roman" w:hAnsi="Lato"/>
        </w:rPr>
        <w:t xml:space="preserve"> on the district's website and in appropriate handbooks and shall be subject to review by the board of educ</w:t>
      </w:r>
      <w:r>
        <w:rPr>
          <w:rFonts w:ascii="Lato" w:eastAsia="Times New Roman" w:hAnsi="Lato"/>
        </w:rPr>
        <w:t xml:space="preserve">ation. The administration will develop rules and procedures that minimally include: </w:t>
      </w:r>
    </w:p>
    <w:p w:rsidR="00000000" w:rsidRDefault="00540045">
      <w:pPr>
        <w:numPr>
          <w:ilvl w:val="0"/>
          <w:numId w:val="2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Clear and reasonable attendance standards with consistently enforced consequences for violating those standards.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2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Early intervention strategies for students in primary an</w:t>
      </w:r>
      <w:r>
        <w:rPr>
          <w:rFonts w:ascii="Lato" w:eastAsia="Times New Roman" w:hAnsi="Lato"/>
        </w:rPr>
        <w:t>d elementary grades.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2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Targeted intervention strategies.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2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Strategies to increase engagement with students and families.</w:t>
      </w:r>
    </w:p>
    <w:p w:rsidR="00000000" w:rsidRDefault="00540045">
      <w:pPr>
        <w:spacing w:after="0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In developing these rules and procedures, the administration will collect data to determine why students are absent. Data collected wil</w:t>
      </w:r>
      <w:r>
        <w:rPr>
          <w:rFonts w:ascii="Lato" w:eastAsia="Times New Roman" w:hAnsi="Lato"/>
        </w:rPr>
        <w:t xml:space="preserve">l include, but not be limited </w:t>
      </w:r>
      <w:proofErr w:type="gramStart"/>
      <w:r>
        <w:rPr>
          <w:rFonts w:ascii="Lato" w:eastAsia="Times New Roman" w:hAnsi="Lato"/>
        </w:rPr>
        <w:t>to</w:t>
      </w:r>
      <w:proofErr w:type="gramEnd"/>
      <w:r>
        <w:rPr>
          <w:rFonts w:ascii="Lato" w:eastAsia="Times New Roman" w:hAnsi="Lato"/>
        </w:rPr>
        <w:t xml:space="preserve">: </w:t>
      </w:r>
    </w:p>
    <w:p w:rsidR="00000000" w:rsidRDefault="00540045">
      <w:pPr>
        <w:numPr>
          <w:ilvl w:val="0"/>
          <w:numId w:val="3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lastRenderedPageBreak/>
        <w:t>Reasons for student absences.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3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Family attitudes toward school attendance.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3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The extent to which frequently absent students feel engaged with the school.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3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The extent to which family members of students who are frequently</w:t>
      </w:r>
      <w:r>
        <w:rPr>
          <w:rFonts w:ascii="Lato" w:eastAsia="Times New Roman" w:hAnsi="Lato"/>
        </w:rPr>
        <w:t xml:space="preserve"> absent feel engaged in student learning.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3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Academic needs of frequently absent students.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3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Nonacademic service needs of frequently absent students.</w:t>
      </w:r>
    </w:p>
    <w:p w:rsidR="00000000" w:rsidRDefault="00540045">
      <w:pPr>
        <w:spacing w:after="0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In response to the data collected, the superintendent or designee will implement one or more of the followi</w:t>
      </w:r>
      <w:r>
        <w:rPr>
          <w:rFonts w:ascii="Lato" w:eastAsia="Times New Roman" w:hAnsi="Lato"/>
        </w:rPr>
        <w:t xml:space="preserve">ng strategies: </w:t>
      </w:r>
    </w:p>
    <w:p w:rsidR="00000000" w:rsidRDefault="00540045">
      <w:pPr>
        <w:numPr>
          <w:ilvl w:val="0"/>
          <w:numId w:val="4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Academic support programs for students and families.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4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Use of alternative educational methods, such as distance learning and homebound instruction.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4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Use of available, appropriate community resources.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4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Staff-Student advisory or mentoring programs designed to increase student engagement with the school.</w:t>
      </w:r>
      <w:r>
        <w:rPr>
          <w:rFonts w:ascii="Lato" w:eastAsia="Times New Roman" w:hAnsi="Lato"/>
        </w:rPr>
        <w:br/>
        <w:t> </w:t>
      </w:r>
    </w:p>
    <w:p w:rsidR="00000000" w:rsidRDefault="00540045">
      <w:pPr>
        <w:numPr>
          <w:ilvl w:val="0"/>
          <w:numId w:val="4"/>
        </w:numPr>
        <w:spacing w:before="100" w:beforeAutospacing="1" w:after="100" w:afterAutospacing="1" w:line="240" w:lineRule="auto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Procedures for student and family contact when students are absent.</w:t>
      </w:r>
    </w:p>
    <w:p w:rsidR="00000000" w:rsidRDefault="00540045">
      <w:pPr>
        <w:spacing w:after="0"/>
        <w:divId w:val="1635594559"/>
        <w:rPr>
          <w:rFonts w:ascii="Lato" w:eastAsia="Times New Roman" w:hAnsi="Lato"/>
        </w:rPr>
      </w:pPr>
      <w:r>
        <w:rPr>
          <w:rFonts w:ascii="Lato" w:eastAsia="Times New Roman" w:hAnsi="Lato"/>
        </w:rPr>
        <w:t>No rule or procedure will preclude a student from making up work missed due to any t</w:t>
      </w:r>
      <w:r>
        <w:rPr>
          <w:rFonts w:ascii="Lato" w:eastAsia="Times New Roman" w:hAnsi="Lato"/>
        </w:rPr>
        <w:t xml:space="preserve">ype of absence, including absences due to suspension. Procedures and rules must include a due process component that includes notice before consequences </w:t>
      </w:r>
      <w:proofErr w:type="gramStart"/>
      <w:r>
        <w:rPr>
          <w:rFonts w:ascii="Lato" w:eastAsia="Times New Roman" w:hAnsi="Lato"/>
        </w:rPr>
        <w:t>are imposed</w:t>
      </w:r>
      <w:proofErr w:type="gramEnd"/>
      <w:r>
        <w:rPr>
          <w:rFonts w:ascii="Lato" w:eastAsia="Times New Roman" w:hAnsi="Lato"/>
        </w:rPr>
        <w:t xml:space="preserve"> and that allows students and their parents/guardians to appeal any imposed consequence to t</w:t>
      </w:r>
      <w:r>
        <w:rPr>
          <w:rFonts w:ascii="Lato" w:eastAsia="Times New Roman" w:hAnsi="Lato"/>
        </w:rPr>
        <w:t>he superintendent. The board will not hear appeals of consequences for excessive absences.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The district will maintain a comprehensive system of attendance records for each student. Each teacher is responsible for the accurate reporting of daily attendance</w:t>
      </w:r>
      <w:r>
        <w:rPr>
          <w:rFonts w:ascii="Lato" w:eastAsia="Times New Roman" w:hAnsi="Lato"/>
        </w:rPr>
        <w:t xml:space="preserve"> in the classroom. The building principal is responsible for supplying information to parents/guardians about student absences and for submitting attendance information to the superintendent's office.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  <w:t>The district will contact the Children's Division (CD)</w:t>
      </w:r>
      <w:r>
        <w:rPr>
          <w:rFonts w:ascii="Lato" w:eastAsia="Times New Roman" w:hAnsi="Lato"/>
        </w:rPr>
        <w:t xml:space="preserve"> of the Department of Social Services or the local prosecutor in cases where the district has reasonable cause to suspect that a student's lack of attendance constitutes educational neglect on the part of the parents/guardians or that parents/guardians are</w:t>
      </w:r>
      <w:r>
        <w:rPr>
          <w:rFonts w:ascii="Lato" w:eastAsia="Times New Roman" w:hAnsi="Lato"/>
        </w:rPr>
        <w:t xml:space="preserve"> in violation of the compulsory attendance law. No such action </w:t>
      </w:r>
      <w:proofErr w:type="gramStart"/>
      <w:r>
        <w:rPr>
          <w:rFonts w:ascii="Lato" w:eastAsia="Times New Roman" w:hAnsi="Lato"/>
        </w:rPr>
        <w:t>will be taken</w:t>
      </w:r>
      <w:proofErr w:type="gramEnd"/>
      <w:r>
        <w:rPr>
          <w:rFonts w:ascii="Lato" w:eastAsia="Times New Roman" w:hAnsi="Lato"/>
        </w:rPr>
        <w:t xml:space="preserve"> unless other strategies and interventions have been implemented and proven ineffective.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proofErr w:type="gramStart"/>
      <w:r>
        <w:rPr>
          <w:rFonts w:ascii="Lato" w:eastAsia="Times New Roman" w:hAnsi="Lato"/>
        </w:rPr>
        <w:t>If a student in foster care is absent from school due to a decision by a court or child-pl</w:t>
      </w:r>
      <w:r>
        <w:rPr>
          <w:rFonts w:ascii="Lato" w:eastAsia="Times New Roman" w:hAnsi="Lato"/>
        </w:rPr>
        <w:t xml:space="preserve">acing agency to change the student's placement or due to a verified court appearance or related court-ordered activity, the grades and credit of the student will be calculated as of the date the student left school, and no lowering of the student's grades </w:t>
      </w:r>
      <w:r>
        <w:rPr>
          <w:rFonts w:ascii="Lato" w:eastAsia="Times New Roman" w:hAnsi="Lato"/>
        </w:rPr>
        <w:t>shall occur as a result of the absence under these circumstances.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proofErr w:type="gramEnd"/>
      <w:r>
        <w:rPr>
          <w:rFonts w:ascii="Lato" w:eastAsia="Times New Roman" w:hAnsi="Lato"/>
          <w:sz w:val="17"/>
          <w:szCs w:val="17"/>
        </w:rPr>
        <w:t>© 2024, Missouri School Boards' Association</w:t>
      </w:r>
      <w:r>
        <w:rPr>
          <w:rFonts w:ascii="Lato" w:eastAsia="Times New Roman" w:hAnsi="Lato"/>
          <w:sz w:val="17"/>
          <w:szCs w:val="17"/>
        </w:rPr>
        <w:br/>
        <w:t>Version JED-C.1D (10/24)</w:t>
      </w:r>
      <w:r>
        <w:rPr>
          <w:rFonts w:ascii="Lato" w:eastAsia="Times New Roman" w:hAnsi="Lato"/>
        </w:rPr>
        <w:t xml:space="preserve"> </w:t>
      </w:r>
    </w:p>
    <w:p w:rsidR="00BA4F9E" w:rsidRDefault="00BA4F9E">
      <w:pPr>
        <w:pBdr>
          <w:bottom w:val="single" w:sz="5" w:space="1" w:color="auto"/>
        </w:pBdr>
      </w:pPr>
    </w:p>
    <w:p w:rsidR="00000000" w:rsidRDefault="00540045">
      <w:pPr>
        <w:divId w:val="1486237854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540045">
      <w:pPr>
        <w:pStyle w:val="Heading2"/>
        <w:shd w:val="clear" w:color="auto" w:fill="FFFFFF"/>
        <w:spacing w:before="0" w:beforeAutospacing="0" w:after="0" w:afterAutospacing="0"/>
        <w:textAlignment w:val="baseline"/>
        <w:divId w:val="1339887415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t>Policy Reference Disclaimer:</w:t>
      </w:r>
    </w:p>
    <w:p w:rsidR="00000000" w:rsidRDefault="00540045">
      <w:pPr>
        <w:divId w:val="1339887415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lastRenderedPageBreak/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160.2000,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167.018,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6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167.019,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7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167.031,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8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</w:t>
            </w:r>
            <w:r>
              <w:rPr>
                <w:rFonts w:ascii="Lato"/>
              </w:rPr>
              <w:t xml:space="preserve">71.011,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9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171.053,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10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</w:t>
              </w:r>
              <w:r>
                <w:rPr>
                  <w:rFonts w:ascii="Lato"/>
                  <w:color w:val="0563C1" w:themeColor="hyperlink"/>
                  <w:u w:val="single"/>
                </w:rPr>
                <w:t>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171.151,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11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210.115,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12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452.375,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13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595.209,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14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§§</w:t>
            </w:r>
            <w:r>
              <w:rPr>
                <w:rFonts w:ascii="Lato"/>
              </w:rPr>
              <w:t xml:space="preserve"> 167.031-.111,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BA4F9E" w:rsidRDefault="00540045">
            <w:hyperlink r:id="rId1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MSIP</w:t>
            </w:r>
          </w:p>
        </w:tc>
        <w:tc>
          <w:tcPr>
            <w:tcW w:w="5961" w:type="dxa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CC-2</w:t>
            </w:r>
          </w:p>
        </w:tc>
        <w:tc>
          <w:tcPr>
            <w:tcW w:w="5961" w:type="dxa"/>
          </w:tcPr>
          <w:p w:rsidR="00BA4F9E" w:rsidRDefault="00540045">
            <w:hyperlink r:id="rId16" w:docLocation="https://dese.mo.gov/quality-schools/mo-school-improvement-program">
              <w:r>
                <w:rPr>
                  <w:rFonts w:ascii="Lato"/>
                  <w:color w:val="0563C1" w:themeColor="hyperlink"/>
                  <w:u w:val="single"/>
                </w:rPr>
                <w:t>MSIP STANDARDS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DB-1</w:t>
            </w:r>
          </w:p>
        </w:tc>
        <w:tc>
          <w:tcPr>
            <w:tcW w:w="5961" w:type="dxa"/>
          </w:tcPr>
          <w:p w:rsidR="00BA4F9E" w:rsidRDefault="00540045">
            <w:hyperlink r:id="rId17" w:docLocation="https://dese.mo.gov/quality-schools/mo-school-improvement-program">
              <w:r>
                <w:rPr>
                  <w:rFonts w:ascii="Lato"/>
                  <w:color w:val="0563C1" w:themeColor="hyperlink"/>
                  <w:u w:val="single"/>
                </w:rPr>
                <w:t>MSIP STANDARDS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TL-1</w:t>
            </w:r>
          </w:p>
        </w:tc>
        <w:tc>
          <w:tcPr>
            <w:tcW w:w="5961" w:type="dxa"/>
          </w:tcPr>
          <w:p w:rsidR="00BA4F9E" w:rsidRDefault="00540045">
            <w:hyperlink r:id="rId18" w:docLocation="https://dese.mo.gov/quality-schools/mo-school-improvement-program">
              <w:r>
                <w:rPr>
                  <w:rFonts w:ascii="Lato"/>
                  <w:color w:val="0563C1" w:themeColor="hyperlink"/>
                  <w:u w:val="single"/>
                </w:rPr>
                <w:t>MSIP STANDARDS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TL-10</w:t>
            </w:r>
          </w:p>
        </w:tc>
        <w:tc>
          <w:tcPr>
            <w:tcW w:w="5961" w:type="dxa"/>
          </w:tcPr>
          <w:p w:rsidR="00BA4F9E" w:rsidRDefault="00540045">
            <w:hyperlink r:id="rId19" w:docLocation="https://dese.mo.gov/quality-schools/mo-school-improvement-program">
              <w:r>
                <w:rPr>
                  <w:rFonts w:ascii="Lato"/>
                  <w:color w:val="0563C1" w:themeColor="hyperlink"/>
                  <w:u w:val="single"/>
                </w:rPr>
                <w:t>MSIP STANDARDS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TL-7</w:t>
            </w:r>
          </w:p>
        </w:tc>
        <w:tc>
          <w:tcPr>
            <w:tcW w:w="5961" w:type="dxa"/>
          </w:tcPr>
          <w:p w:rsidR="00BA4F9E" w:rsidRDefault="00540045">
            <w:hyperlink r:id="rId20" w:docLocation="https://dese.mo.gov/quality-schools/mo-school-improvement-program">
              <w:r>
                <w:rPr>
                  <w:rFonts w:ascii="Lato"/>
                  <w:color w:val="0563C1" w:themeColor="hyperlink"/>
                  <w:u w:val="single"/>
                </w:rPr>
                <w:t>MSI</w:t>
              </w:r>
              <w:r>
                <w:rPr>
                  <w:rFonts w:ascii="Lato"/>
                  <w:color w:val="0563C1" w:themeColor="hyperlink"/>
                  <w:u w:val="single"/>
                </w:rPr>
                <w:t>P STANDARDS</w:t>
              </w:r>
            </w:hyperlink>
          </w:p>
        </w:tc>
      </w:tr>
    </w:tbl>
    <w:p w:rsidR="00000000" w:rsidRDefault="00540045">
      <w:pPr>
        <w:shd w:val="clear" w:color="auto" w:fill="F9F9F9"/>
        <w:spacing w:line="480" w:lineRule="auto"/>
        <w:divId w:val="1340737130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BA4F9E" w:rsidRDefault="00540045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IC-1</w:t>
            </w:r>
          </w:p>
        </w:tc>
        <w:tc>
          <w:tcPr>
            <w:tcW w:w="5961" w:type="dxa"/>
          </w:tcPr>
          <w:p w:rsidR="00BA4F9E" w:rsidRDefault="00540045">
            <w:hyperlink r:id="rId21" w:docLocation="https://simbli.eboardsolutions.com/Policy/ViewPolicy.aspx?S=36031111&amp;revid=Ctlr5qWXhE7bMvjFplusygslsh9Q==">
              <w:r>
                <w:rPr>
                  <w:rFonts w:ascii="Lato"/>
                  <w:color w:val="0563C1" w:themeColor="hyperlink"/>
                  <w:u w:val="single"/>
                </w:rPr>
                <w:t>ACADEMIC CALENDAR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IC-2</w:t>
            </w:r>
          </w:p>
        </w:tc>
        <w:tc>
          <w:tcPr>
            <w:tcW w:w="5961" w:type="dxa"/>
          </w:tcPr>
          <w:p w:rsidR="00BA4F9E" w:rsidRDefault="00540045">
            <w:hyperlink r:id="rId22" w:docLocation="https://simbli.eboardsolutions.com/Policy/ViewPolicy.aspx?S=36031111&amp;revid=XNFiALQ48q4YnB02NqRYuw==">
              <w:r>
                <w:rPr>
                  <w:rFonts w:ascii="Lato"/>
                  <w:color w:val="0563C1" w:themeColor="hyperlink"/>
                  <w:u w:val="single"/>
                </w:rPr>
                <w:t>ACADEMIC CALENDAR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IGBD-1</w:t>
            </w:r>
          </w:p>
        </w:tc>
        <w:tc>
          <w:tcPr>
            <w:tcW w:w="5961" w:type="dxa"/>
          </w:tcPr>
          <w:p w:rsidR="00BA4F9E" w:rsidRDefault="00540045">
            <w:hyperlink r:id="rId23" w:docLocation="https://simbli.eboardsolutions.com/Policy/ViewPolicy.aspx?S=36031111&amp;revid=M5FhBrN4N2MLCwwL644mslshA==">
              <w:r>
                <w:rPr>
                  <w:rFonts w:ascii="Lato"/>
                  <w:color w:val="0563C1" w:themeColor="hyperlink"/>
                  <w:u w:val="single"/>
                </w:rPr>
                <w:t>AT RISK STUDENTS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IGBD-2</w:t>
            </w:r>
          </w:p>
        </w:tc>
        <w:tc>
          <w:tcPr>
            <w:tcW w:w="5961" w:type="dxa"/>
          </w:tcPr>
          <w:p w:rsidR="00BA4F9E" w:rsidRDefault="00540045">
            <w:hyperlink r:id="rId24" w:docLocation="https://simbli.eboardsolutions.com/Policy/ViewPolicy.aspx?S=36031111&amp;revid=60vxjPqFTnYRV52JwqGoKw==">
              <w:r>
                <w:rPr>
                  <w:rFonts w:ascii="Lato"/>
                  <w:color w:val="0563C1" w:themeColor="hyperlink"/>
                  <w:u w:val="single"/>
                </w:rPr>
                <w:t>AT RISK STUDENTS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IGBE-AP(1)</w:t>
            </w:r>
          </w:p>
        </w:tc>
        <w:tc>
          <w:tcPr>
            <w:tcW w:w="5961" w:type="dxa"/>
          </w:tcPr>
          <w:p w:rsidR="00BA4F9E" w:rsidRDefault="00540045">
            <w:hyperlink r:id="rId25" w:docLocation="https://simbli.eboardsolutions.com/Policy/ViewPolicy.aspx?S=36031111&amp;revid=sYmyLUW9a8zDIvpZmfG2Vg==">
              <w:r>
                <w:rPr>
                  <w:rFonts w:ascii="Lato"/>
                  <w:color w:val="0563C1" w:themeColor="hyperlink"/>
                  <w:u w:val="single"/>
                </w:rPr>
                <w:t xml:space="preserve">STUDENTS IN FOSTER CARE - (Dispute </w:t>
              </w:r>
              <w:r>
                <w:rPr>
                  <w:rFonts w:ascii="Lato"/>
                  <w:color w:val="0563C1" w:themeColor="hyperlink"/>
                  <w:u w:val="single"/>
                </w:rPr>
                <w:t>Resolution Process)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IGBE-1</w:t>
            </w:r>
          </w:p>
        </w:tc>
        <w:tc>
          <w:tcPr>
            <w:tcW w:w="5961" w:type="dxa"/>
          </w:tcPr>
          <w:p w:rsidR="00BA4F9E" w:rsidRDefault="00540045">
            <w:hyperlink r:id="rId26" w:docLocation="https://simbli.eboardsolutions.com/Policy/ViewPolicy.aspx?S=36031111&amp;revid=TaETbI7HLqN6694AtwVbBg==">
              <w:r>
                <w:rPr>
                  <w:rFonts w:ascii="Lato"/>
                  <w:color w:val="0563C1" w:themeColor="hyperlink"/>
                  <w:u w:val="single"/>
                </w:rPr>
                <w:t>STUD</w:t>
              </w:r>
              <w:r>
                <w:rPr>
                  <w:rFonts w:ascii="Lato"/>
                  <w:color w:val="0563C1" w:themeColor="hyperlink"/>
                  <w:u w:val="single"/>
                </w:rPr>
                <w:t>ENTS IN FOSTER CARE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IGBE-2</w:t>
            </w:r>
          </w:p>
        </w:tc>
        <w:tc>
          <w:tcPr>
            <w:tcW w:w="5961" w:type="dxa"/>
          </w:tcPr>
          <w:p w:rsidR="00BA4F9E" w:rsidRDefault="00540045">
            <w:hyperlink r:id="rId27" w:docLocation="https://simbli.eboardsolutions.com/Policy/ViewPolicy.aspx?S=36031111&amp;revid=ZbI1DS7yXEqTQWQGinQamQ==">
              <w:r>
                <w:rPr>
                  <w:rFonts w:ascii="Lato"/>
                  <w:color w:val="0563C1" w:themeColor="hyperlink"/>
                  <w:u w:val="single"/>
                </w:rPr>
                <w:t>STUD</w:t>
              </w:r>
              <w:r>
                <w:rPr>
                  <w:rFonts w:ascii="Lato"/>
                  <w:color w:val="0563C1" w:themeColor="hyperlink"/>
                  <w:u w:val="single"/>
                </w:rPr>
                <w:t>ENTS IN FOSTER CARE</w:t>
              </w:r>
            </w:hyperlink>
          </w:p>
        </w:tc>
      </w:tr>
      <w:tr w:rsidR="00BA4F9E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BA4F9E" w:rsidRDefault="00540045">
            <w:pPr>
              <w:spacing w:after="0"/>
            </w:pPr>
            <w:r>
              <w:rPr>
                <w:rFonts w:ascii="Lato"/>
              </w:rPr>
              <w:t>IGCDA</w:t>
            </w:r>
          </w:p>
        </w:tc>
        <w:tc>
          <w:tcPr>
            <w:tcW w:w="5961" w:type="dxa"/>
          </w:tcPr>
          <w:p w:rsidR="00BA4F9E" w:rsidRDefault="00540045">
            <w:hyperlink r:id="rId28" w:docLocation="https://simbli.eboardsolutions.com/Policy/ViewPolicy.aspx?S=36031111&amp;revid=HMWfS4Gdc9T7bpheKXOoHw==">
              <w:r>
                <w:rPr>
                  <w:rFonts w:ascii="Lato"/>
                  <w:color w:val="0563C1" w:themeColor="hyperlink"/>
                  <w:u w:val="single"/>
                </w:rPr>
                <w:t>FULL-</w:t>
              </w:r>
              <w:r>
                <w:rPr>
                  <w:rFonts w:ascii="Lato"/>
                  <w:color w:val="0563C1" w:themeColor="hyperlink"/>
                  <w:u w:val="single"/>
                </w:rPr>
                <w:t>TIME MOCAP VIRTUAL COURSES</w:t>
              </w:r>
            </w:hyperlink>
          </w:p>
        </w:tc>
      </w:tr>
    </w:tbl>
    <w:p w:rsidR="00000000" w:rsidRDefault="00540045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3076A"/>
    <w:multiLevelType w:val="multilevel"/>
    <w:tmpl w:val="207CA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C4343"/>
    <w:multiLevelType w:val="multilevel"/>
    <w:tmpl w:val="463E3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754E5B"/>
    <w:multiLevelType w:val="multilevel"/>
    <w:tmpl w:val="96583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5E6A68"/>
    <w:multiLevelType w:val="multilevel"/>
    <w:tmpl w:val="E0CEF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9E"/>
    <w:rsid w:val="00540045"/>
    <w:rsid w:val="00BA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71DD"/>
  <w15:docId w15:val="{C510D358-C634-4851-AC32-29AD4351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371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8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55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isor.mo.gov/main/Home.aspx" TargetMode="External"/><Relationship Id="rId13" Type="http://schemas.openxmlformats.org/officeDocument/2006/relationships/hyperlink" Target="https://revisor.mo.gov/main/Home.aspx" TargetMode="External"/><Relationship Id="rId18" Type="http://schemas.openxmlformats.org/officeDocument/2006/relationships/hyperlink" Target="https://dese.mo.gov/quality-schools/mo-school-improvement-program" TargetMode="External"/><Relationship Id="rId26" Type="http://schemas.openxmlformats.org/officeDocument/2006/relationships/hyperlink" Target="https://simbli.eboardsolutions.com/Policy/ViewPolicy.aspx?S=36031111&amp;revid=TaETbI7HLqN6694AtwVbBg==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mbli.eboardsolutions.com/Policy/ViewPolicy.aspx?S=36031111&amp;revid=Ctlr5qWXhE7bMvjFplusygslsh9Q==" TargetMode="External"/><Relationship Id="rId7" Type="http://schemas.openxmlformats.org/officeDocument/2006/relationships/hyperlink" Target="https://revisor.mo.gov/main/Home.aspx" TargetMode="External"/><Relationship Id="rId12" Type="http://schemas.openxmlformats.org/officeDocument/2006/relationships/hyperlink" Target="https://revisor.mo.gov/main/Home.aspx" TargetMode="External"/><Relationship Id="rId17" Type="http://schemas.openxmlformats.org/officeDocument/2006/relationships/hyperlink" Target="https://dese.mo.gov/quality-schools/mo-school-improvement-program" TargetMode="External"/><Relationship Id="rId25" Type="http://schemas.openxmlformats.org/officeDocument/2006/relationships/hyperlink" Target="https://simbli.eboardsolutions.com/Policy/ViewPolicy.aspx?S=36031111&amp;revid=sYmyLUW9a8zDIvpZmfG2Vg==" TargetMode="External"/><Relationship Id="rId2" Type="http://schemas.openxmlformats.org/officeDocument/2006/relationships/styles" Target="styles.xml"/><Relationship Id="rId16" Type="http://schemas.openxmlformats.org/officeDocument/2006/relationships/hyperlink" Target="https://dese.mo.gov/quality-schools/mo-school-improvement-program" TargetMode="External"/><Relationship Id="rId20" Type="http://schemas.openxmlformats.org/officeDocument/2006/relationships/hyperlink" Target="https://dese.mo.gov/quality-schools/mo-school-improvement-progra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visor.mo.gov/main/Home.aspx" TargetMode="External"/><Relationship Id="rId11" Type="http://schemas.openxmlformats.org/officeDocument/2006/relationships/hyperlink" Target="https://revisor.mo.gov/main/Home.aspx" TargetMode="External"/><Relationship Id="rId24" Type="http://schemas.openxmlformats.org/officeDocument/2006/relationships/hyperlink" Target="https://simbli.eboardsolutions.com/Policy/ViewPolicy.aspx?S=36031111&amp;revid=60vxjPqFTnYRV52JwqGoKw==" TargetMode="Externa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s://revisor.mo.gov/main/Home.aspx" TargetMode="External"/><Relationship Id="rId23" Type="http://schemas.openxmlformats.org/officeDocument/2006/relationships/hyperlink" Target="https://simbli.eboardsolutions.com/Policy/ViewPolicy.aspx?S=36031111&amp;revid=M5FhBrN4N2MLCwwL644mslshA==" TargetMode="External"/><Relationship Id="rId28" Type="http://schemas.openxmlformats.org/officeDocument/2006/relationships/hyperlink" Target="https://simbli.eboardsolutions.com/Policy/ViewPolicy.aspx?S=36031111&amp;revid=HMWfS4Gdc9T7bpheKXOoHw==" TargetMode="External"/><Relationship Id="rId10" Type="http://schemas.openxmlformats.org/officeDocument/2006/relationships/hyperlink" Target="https://revisor.mo.gov/main/Home.aspx" TargetMode="External"/><Relationship Id="rId19" Type="http://schemas.openxmlformats.org/officeDocument/2006/relationships/hyperlink" Target="https://dese.mo.gov/quality-schools/mo-school-improvement-progr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visor.mo.gov/main/Home.aspx" TargetMode="External"/><Relationship Id="rId14" Type="http://schemas.openxmlformats.org/officeDocument/2006/relationships/hyperlink" Target="https://revisor.mo.gov/main/Home.aspx" TargetMode="External"/><Relationship Id="rId22" Type="http://schemas.openxmlformats.org/officeDocument/2006/relationships/hyperlink" Target="https://simbli.eboardsolutions.com/Policy/ViewPolicy.aspx?S=36031111&amp;revid=XNFiALQ48q4YnB02NqRYuw==" TargetMode="External"/><Relationship Id="rId27" Type="http://schemas.openxmlformats.org/officeDocument/2006/relationships/hyperlink" Target="https://simbli.eboardsolutions.com/Policy/ViewPolicy.aspx?S=36031111&amp;revid=ZbI1DS7yXEqTQWQGinQamQ==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Hilsabeck</dc:creator>
  <cp:lastModifiedBy>Emily Hilsabeck</cp:lastModifiedBy>
  <cp:revision>2</cp:revision>
  <dcterms:created xsi:type="dcterms:W3CDTF">2024-12-31T20:46:00Z</dcterms:created>
  <dcterms:modified xsi:type="dcterms:W3CDTF">2024-12-31T20:46:00Z</dcterms:modified>
</cp:coreProperties>
</file>