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0C31" w:rsidRDefault="00A62CA0">
      <w:pPr>
        <w:spacing w:after="0"/>
        <w:jc w:val="right"/>
      </w:pPr>
      <w:r>
        <w:rPr>
          <w:rFonts w:ascii="Lato Black"/>
          <w:b/>
        </w:rPr>
        <w:t>MSBA Core Manual</w:t>
      </w:r>
    </w:p>
    <w:p w:rsidR="00260C31" w:rsidRDefault="00A62CA0">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260C31">
        <w:tblPrEx>
          <w:tblCellMar>
            <w:bottom w:w="0" w:type="dxa"/>
          </w:tblCellMar>
        </w:tblPrEx>
        <w:tc>
          <w:tcPr>
            <w:tcW w:w="0" w:type="auto"/>
            <w:shd w:val="clear" w:color="auto" w:fill="EFEFEF"/>
          </w:tcPr>
          <w:p w:rsidR="00260C31" w:rsidRDefault="00A62CA0">
            <w:pPr>
              <w:spacing w:after="0"/>
            </w:pPr>
            <w:r>
              <w:rPr>
                <w:rFonts w:ascii="Lato Black"/>
                <w:b/>
              </w:rPr>
              <w:t>Policy JFG: SEARCHES OF STUDENTS</w:t>
            </w:r>
          </w:p>
        </w:tc>
        <w:tc>
          <w:tcPr>
            <w:tcW w:w="1000" w:type="pct"/>
            <w:shd w:val="clear" w:color="auto" w:fill="EFEFEF"/>
          </w:tcPr>
          <w:p w:rsidR="00260C31" w:rsidRDefault="00A62CA0">
            <w:r>
              <w:rPr>
                <w:rFonts w:ascii="Lato Black"/>
                <w:b/>
              </w:rPr>
              <w:t xml:space="preserve">Status: </w:t>
            </w:r>
            <w:r>
              <w:rPr>
                <w:rFonts w:ascii="Lato"/>
              </w:rPr>
              <w:t>ADOPTED</w:t>
            </w:r>
          </w:p>
        </w:tc>
      </w:tr>
      <w:tr w:rsidR="00260C31">
        <w:tblPrEx>
          <w:tblCellMar>
            <w:bottom w:w="0" w:type="dxa"/>
          </w:tblCellMar>
        </w:tblPrEx>
        <w:tc>
          <w:tcPr>
            <w:tcW w:w="0" w:type="auto"/>
            <w:shd w:val="clear" w:color="auto" w:fill="EFEFEF"/>
          </w:tcPr>
          <w:p w:rsidR="00260C31" w:rsidRDefault="00A62CA0">
            <w:r>
              <w:rPr>
                <w:rFonts w:ascii="Lato Black"/>
                <w:b/>
                <w:sz w:val="18"/>
              </w:rPr>
              <w:t xml:space="preserve">Original Adopted Date: </w:t>
            </w:r>
            <w:r>
              <w:rPr>
                <w:rFonts w:ascii="Lato"/>
                <w:sz w:val="18"/>
              </w:rPr>
              <w:t>01/31/2022</w:t>
            </w:r>
            <w:r>
              <w:rPr>
                <w:rFonts w:ascii="Lato Black"/>
                <w:b/>
                <w:sz w:val="18"/>
              </w:rPr>
              <w:t xml:space="preserve"> | Last Revised Date: </w:t>
            </w:r>
            <w:r>
              <w:rPr>
                <w:rFonts w:ascii="Lato"/>
                <w:sz w:val="18"/>
              </w:rPr>
              <w:t>12/14/2023</w:t>
            </w:r>
            <w:r>
              <w:rPr>
                <w:rFonts w:ascii="Lato Black"/>
                <w:b/>
                <w:sz w:val="18"/>
              </w:rPr>
              <w:t xml:space="preserve"> | Last Reviewed Date: </w:t>
            </w:r>
            <w:r>
              <w:rPr>
                <w:rFonts w:ascii="Lato"/>
                <w:sz w:val="18"/>
              </w:rPr>
              <w:t>05/15/2024</w:t>
            </w:r>
            <w:bookmarkStart w:id="0" w:name="_GoBack"/>
            <w:bookmarkEnd w:id="0"/>
          </w:p>
        </w:tc>
        <w:tc>
          <w:tcPr>
            <w:tcW w:w="0" w:type="auto"/>
            <w:shd w:val="clear" w:color="auto" w:fill="EFEFEF"/>
          </w:tcPr>
          <w:p w:rsidR="00260C31" w:rsidRDefault="00260C31">
            <w:pPr>
              <w:spacing w:after="0"/>
            </w:pPr>
          </w:p>
        </w:tc>
      </w:tr>
    </w:tbl>
    <w:p w:rsidR="00260C31" w:rsidRDefault="00260C31">
      <w:pPr>
        <w:spacing w:after="30"/>
        <w:jc w:val="right"/>
      </w:pPr>
    </w:p>
    <w:p w:rsidR="00000000" w:rsidRDefault="00A62CA0">
      <w:pPr>
        <w:divId w:val="1464695069"/>
        <w:rPr>
          <w:rFonts w:ascii="Lato" w:eastAsia="Times New Roman" w:hAnsi="Lato"/>
        </w:rPr>
      </w:pPr>
      <w:r>
        <w:rPr>
          <w:rFonts w:ascii="Lato" w:eastAsia="Times New Roman" w:hAnsi="Lato"/>
        </w:rPr>
        <w:t>To maintain a safe learning environment and properly investigate potential misconduct, district personnel may search student property and district property used by students. In some limited situations, the district </w:t>
      </w:r>
      <w:r>
        <w:rPr>
          <w:rFonts w:ascii="Lato" w:eastAsia="Times New Roman" w:hAnsi="Lato"/>
        </w:rPr>
        <w:t xml:space="preserve">may require students to undergo drug and/or alcohol testing. All searches </w:t>
      </w:r>
      <w:proofErr w:type="gramStart"/>
      <w:r>
        <w:rPr>
          <w:rFonts w:ascii="Lato" w:eastAsia="Times New Roman" w:hAnsi="Lato"/>
        </w:rPr>
        <w:t>will be conducted</w:t>
      </w:r>
      <w:proofErr w:type="gramEnd"/>
      <w:r>
        <w:rPr>
          <w:rFonts w:ascii="Lato" w:eastAsia="Times New Roman" w:hAnsi="Lato"/>
        </w:rPr>
        <w:t xml:space="preserve"> professionally and in accordance with law. The superintendent or designee </w:t>
      </w:r>
      <w:proofErr w:type="gramStart"/>
      <w:r>
        <w:rPr>
          <w:rFonts w:ascii="Lato" w:eastAsia="Times New Roman" w:hAnsi="Lato"/>
        </w:rPr>
        <w:t>is directed</w:t>
      </w:r>
      <w:proofErr w:type="gramEnd"/>
      <w:r>
        <w:rPr>
          <w:rFonts w:ascii="Lato" w:eastAsia="Times New Roman" w:hAnsi="Lato"/>
        </w:rPr>
        <w:t xml:space="preserve"> to provide staff with appropriate training and is authorized to contact the di</w:t>
      </w:r>
      <w:r>
        <w:rPr>
          <w:rFonts w:ascii="Lato" w:eastAsia="Times New Roman" w:hAnsi="Lato"/>
        </w:rPr>
        <w:t>strict's attorney for advice prior to conducting any search.</w:t>
      </w:r>
    </w:p>
    <w:p w:rsidR="00000000" w:rsidRDefault="00A62CA0">
      <w:pPr>
        <w:pStyle w:val="Heading3"/>
        <w:divId w:val="27998657"/>
        <w:rPr>
          <w:rFonts w:ascii="Lato" w:eastAsia="Times New Roman" w:hAnsi="Lato"/>
        </w:rPr>
      </w:pPr>
      <w:r>
        <w:rPr>
          <w:rFonts w:ascii="Lato" w:eastAsia="Times New Roman" w:hAnsi="Lato"/>
        </w:rPr>
        <w:t>Searches by District Personnel</w:t>
      </w:r>
    </w:p>
    <w:p w:rsidR="00000000" w:rsidRDefault="00A62CA0">
      <w:pPr>
        <w:pStyle w:val="Heading4"/>
        <w:divId w:val="27998657"/>
        <w:rPr>
          <w:rFonts w:ascii="Lato" w:eastAsia="Times New Roman" w:hAnsi="Lato"/>
        </w:rPr>
      </w:pPr>
      <w:r>
        <w:rPr>
          <w:rStyle w:val="Emphasis"/>
          <w:rFonts w:ascii="Lato" w:eastAsia="Times New Roman" w:hAnsi="Lato"/>
        </w:rPr>
        <w:t>Searches of District Property</w:t>
      </w:r>
    </w:p>
    <w:p w:rsidR="00000000" w:rsidRDefault="00A62CA0">
      <w:pPr>
        <w:divId w:val="27998657"/>
        <w:rPr>
          <w:rFonts w:ascii="Lato" w:eastAsia="Times New Roman" w:hAnsi="Lato"/>
        </w:rPr>
      </w:pPr>
      <w:r>
        <w:rPr>
          <w:rFonts w:ascii="Lato" w:eastAsia="Times New Roman" w:hAnsi="Lato"/>
        </w:rPr>
        <w:t xml:space="preserve">Students do not have an expectation of privacy in district-provided property. Lockers, desks, technology, and other district property </w:t>
      </w:r>
      <w:proofErr w:type="gramStart"/>
      <w:r>
        <w:rPr>
          <w:rFonts w:ascii="Lato" w:eastAsia="Times New Roman" w:hAnsi="Lato"/>
        </w:rPr>
        <w:t>are provided</w:t>
      </w:r>
      <w:proofErr w:type="gramEnd"/>
      <w:r>
        <w:rPr>
          <w:rFonts w:ascii="Lato" w:eastAsia="Times New Roman" w:hAnsi="Lato"/>
        </w:rPr>
        <w:t xml:space="preserve"> for the convenience of students and are subject to periodic inspection in accordance with law. </w:t>
      </w:r>
    </w:p>
    <w:p w:rsidR="00000000" w:rsidRDefault="00A62CA0">
      <w:pPr>
        <w:pStyle w:val="Heading4"/>
        <w:divId w:val="27998657"/>
        <w:rPr>
          <w:rFonts w:ascii="Lato" w:eastAsia="Times New Roman" w:hAnsi="Lato"/>
        </w:rPr>
      </w:pPr>
      <w:r>
        <w:rPr>
          <w:rStyle w:val="Emphasis"/>
          <w:rFonts w:ascii="Lato" w:eastAsia="Times New Roman" w:hAnsi="Lato"/>
        </w:rPr>
        <w:t>Searches of Student Property</w:t>
      </w:r>
    </w:p>
    <w:p w:rsidR="00000000" w:rsidRDefault="00A62CA0">
      <w:pPr>
        <w:divId w:val="27998657"/>
        <w:rPr>
          <w:rFonts w:ascii="Lato" w:eastAsia="Times New Roman" w:hAnsi="Lato"/>
        </w:rPr>
      </w:pPr>
      <w:r>
        <w:rPr>
          <w:rFonts w:ascii="Lato" w:eastAsia="Times New Roman" w:hAnsi="Lato"/>
        </w:rPr>
        <w:t xml:space="preserve">Student property, including vehicles parked on district property, </w:t>
      </w:r>
      <w:proofErr w:type="gramStart"/>
      <w:r>
        <w:rPr>
          <w:rFonts w:ascii="Lato" w:eastAsia="Times New Roman" w:hAnsi="Lato"/>
        </w:rPr>
        <w:t>may be searched</w:t>
      </w:r>
      <w:proofErr w:type="gramEnd"/>
      <w:r>
        <w:rPr>
          <w:rFonts w:ascii="Lato" w:eastAsia="Times New Roman" w:hAnsi="Lato"/>
        </w:rPr>
        <w:t xml:space="preserve"> based on reasonable suspicion of a v</w:t>
      </w:r>
      <w:r>
        <w:rPr>
          <w:rFonts w:ascii="Lato" w:eastAsia="Times New Roman" w:hAnsi="Lato"/>
        </w:rPr>
        <w:t xml:space="preserve">iolation of law, district policy, or other rules applicable to students. Reasonable suspicion </w:t>
      </w:r>
      <w:proofErr w:type="gramStart"/>
      <w:r>
        <w:rPr>
          <w:rFonts w:ascii="Lato" w:eastAsia="Times New Roman" w:hAnsi="Lato"/>
        </w:rPr>
        <w:t>must be based</w:t>
      </w:r>
      <w:proofErr w:type="gramEnd"/>
      <w:r>
        <w:rPr>
          <w:rFonts w:ascii="Lato" w:eastAsia="Times New Roman" w:hAnsi="Lato"/>
        </w:rPr>
        <w:t xml:space="preserve"> on facts known to the administration, credible information, or reasonable inference drawn from such facts or information. Searches of student proper</w:t>
      </w:r>
      <w:r>
        <w:rPr>
          <w:rFonts w:ascii="Lato" w:eastAsia="Times New Roman" w:hAnsi="Lato"/>
        </w:rPr>
        <w:t xml:space="preserve">ty shall be limited in scope based on the original justification for the search and shall be carried out in the presence of adult witnesses when possible. Students' privacy and dignity </w:t>
      </w:r>
      <w:proofErr w:type="gramStart"/>
      <w:r>
        <w:rPr>
          <w:rFonts w:ascii="Lato" w:eastAsia="Times New Roman" w:hAnsi="Lato"/>
        </w:rPr>
        <w:t>shall be respected</w:t>
      </w:r>
      <w:proofErr w:type="gramEnd"/>
      <w:r>
        <w:rPr>
          <w:rFonts w:ascii="Lato" w:eastAsia="Times New Roman" w:hAnsi="Lato"/>
        </w:rPr>
        <w:t xml:space="preserve">. </w:t>
      </w:r>
    </w:p>
    <w:p w:rsidR="00000000" w:rsidRDefault="00A62CA0">
      <w:pPr>
        <w:pStyle w:val="Heading4"/>
        <w:divId w:val="27998657"/>
        <w:rPr>
          <w:rFonts w:ascii="Lato" w:eastAsia="Times New Roman" w:hAnsi="Lato"/>
        </w:rPr>
      </w:pPr>
      <w:r>
        <w:rPr>
          <w:rStyle w:val="Emphasis"/>
          <w:rFonts w:ascii="Lato" w:eastAsia="Times New Roman" w:hAnsi="Lato"/>
        </w:rPr>
        <w:t>Searches of Students</w:t>
      </w:r>
    </w:p>
    <w:p w:rsidR="00000000" w:rsidRDefault="00A62CA0">
      <w:pPr>
        <w:divId w:val="27998657"/>
        <w:rPr>
          <w:rFonts w:ascii="Lato" w:eastAsia="Times New Roman" w:hAnsi="Lato"/>
        </w:rPr>
      </w:pPr>
      <w:r>
        <w:rPr>
          <w:rFonts w:ascii="Lato" w:eastAsia="Times New Roman" w:hAnsi="Lato"/>
        </w:rPr>
        <w:t>If reasonable under the circu</w:t>
      </w:r>
      <w:r>
        <w:rPr>
          <w:rFonts w:ascii="Lato" w:eastAsia="Times New Roman" w:hAnsi="Lato"/>
        </w:rPr>
        <w:t>mstances, district administrators performing a search may require students to empty pockets or remove jackets, coats, shoes, and other articles of exterior clothing that when removed do not expose undergarments not otherwise observable.</w:t>
      </w:r>
      <w:r>
        <w:rPr>
          <w:rFonts w:ascii="Lato" w:eastAsia="Times New Roman" w:hAnsi="Lato"/>
        </w:rPr>
        <w:br/>
      </w:r>
      <w:r>
        <w:rPr>
          <w:rFonts w:ascii="Lato" w:eastAsia="Times New Roman" w:hAnsi="Lato"/>
        </w:rPr>
        <w:br/>
        <w:t>District administr</w:t>
      </w:r>
      <w:r>
        <w:rPr>
          <w:rFonts w:ascii="Lato" w:eastAsia="Times New Roman" w:hAnsi="Lato"/>
        </w:rPr>
        <w:t>ators will contact law enforcement officials to perform a search if they reasonably suspect that a student is concealing controlled substances, drug paraphernalia, weapons, stolen goods, or evidence of a crime beneath their clothing and the student refuses</w:t>
      </w:r>
      <w:r>
        <w:rPr>
          <w:rFonts w:ascii="Lato" w:eastAsia="Times New Roman" w:hAnsi="Lato"/>
        </w:rPr>
        <w:t xml:space="preserve"> to surrender such items. District administrators may contact law enforcement officials for assistance in performing a search in any case in which a student refuses to allow a search or in which the search </w:t>
      </w:r>
      <w:proofErr w:type="gramStart"/>
      <w:r>
        <w:rPr>
          <w:rFonts w:ascii="Lato" w:eastAsia="Times New Roman" w:hAnsi="Lato"/>
        </w:rPr>
        <w:t>cannot be conducted</w:t>
      </w:r>
      <w:proofErr w:type="gramEnd"/>
      <w:r>
        <w:rPr>
          <w:rFonts w:ascii="Lato" w:eastAsia="Times New Roman" w:hAnsi="Lato"/>
        </w:rPr>
        <w:t xml:space="preserve"> safely.</w:t>
      </w:r>
      <w:r>
        <w:rPr>
          <w:rFonts w:ascii="Lato" w:eastAsia="Times New Roman" w:hAnsi="Lato"/>
        </w:rPr>
        <w:br/>
      </w:r>
      <w:r>
        <w:rPr>
          <w:rFonts w:ascii="Lato" w:eastAsia="Times New Roman" w:hAnsi="Lato"/>
        </w:rPr>
        <w:br/>
      </w:r>
      <w:proofErr w:type="gramStart"/>
      <w:r>
        <w:rPr>
          <w:rFonts w:ascii="Lato" w:eastAsia="Times New Roman" w:hAnsi="Lato"/>
        </w:rPr>
        <w:t>District employees, a</w:t>
      </w:r>
      <w:r>
        <w:rPr>
          <w:rFonts w:ascii="Lato" w:eastAsia="Times New Roman" w:hAnsi="Lato"/>
        </w:rPr>
        <w:t xml:space="preserve">dministrators, and volunteers, other than commissioned law enforcement officials, shall not strip search students, as defined in state law, except that an administrator may conduct such a search if a commissioned law enforcement officer is not immediately </w:t>
      </w:r>
      <w:r>
        <w:rPr>
          <w:rFonts w:ascii="Lato" w:eastAsia="Times New Roman" w:hAnsi="Lato"/>
        </w:rPr>
        <w:t>available and the administrator has reason to believe that the student possesses a weapon, explosive, or substance that poses an imminent threat of physical harm to the student or others.</w:t>
      </w:r>
      <w:r>
        <w:rPr>
          <w:rFonts w:ascii="Lato" w:eastAsia="Times New Roman" w:hAnsi="Lato"/>
        </w:rPr>
        <w:br/>
      </w:r>
      <w:r>
        <w:rPr>
          <w:rFonts w:ascii="Lato" w:eastAsia="Times New Roman" w:hAnsi="Lato"/>
        </w:rPr>
        <w:br/>
      </w:r>
      <w:proofErr w:type="gramEnd"/>
      <w:r>
        <w:rPr>
          <w:rFonts w:ascii="Lato" w:eastAsia="Times New Roman" w:hAnsi="Lato"/>
        </w:rPr>
        <w:t>If a student is strip searched, as defined in state law, by an admi</w:t>
      </w:r>
      <w:r>
        <w:rPr>
          <w:rFonts w:ascii="Lato" w:eastAsia="Times New Roman" w:hAnsi="Lato"/>
        </w:rPr>
        <w:t>nistrator or a commissioned law enforcement officer, the district will attempt to notify the student's parents/guardians as soon as possible. For the purposes of this section, the term "strip search" shall not include the removal of clothing in order to in</w:t>
      </w:r>
      <w:r>
        <w:rPr>
          <w:rFonts w:ascii="Lato" w:eastAsia="Times New Roman" w:hAnsi="Lato"/>
        </w:rPr>
        <w:t xml:space="preserve">vestigate the </w:t>
      </w:r>
      <w:r>
        <w:rPr>
          <w:rFonts w:ascii="Lato" w:eastAsia="Times New Roman" w:hAnsi="Lato"/>
        </w:rPr>
        <w:lastRenderedPageBreak/>
        <w:t xml:space="preserve">potential abuse or neglect of a student, give medical attention to a student, or screen a student for medical conditions. </w:t>
      </w:r>
    </w:p>
    <w:p w:rsidR="00000000" w:rsidRDefault="00A62CA0">
      <w:pPr>
        <w:pStyle w:val="Heading3"/>
        <w:divId w:val="27998657"/>
        <w:rPr>
          <w:rFonts w:ascii="Lato" w:eastAsia="Times New Roman" w:hAnsi="Lato"/>
        </w:rPr>
      </w:pPr>
      <w:r>
        <w:rPr>
          <w:rFonts w:ascii="Lato" w:eastAsia="Times New Roman" w:hAnsi="Lato"/>
        </w:rPr>
        <w:t>Drug-Detection Dogs</w:t>
      </w:r>
    </w:p>
    <w:p w:rsidR="00000000" w:rsidRDefault="00A62CA0">
      <w:pPr>
        <w:divId w:val="27998657"/>
        <w:rPr>
          <w:rFonts w:ascii="Lato" w:eastAsia="Times New Roman" w:hAnsi="Lato"/>
        </w:rPr>
      </w:pPr>
      <w:r>
        <w:rPr>
          <w:rFonts w:ascii="Lato" w:eastAsia="Times New Roman" w:hAnsi="Lato"/>
        </w:rPr>
        <w:br/>
        <w:t>The district may arrange for law enforcement officials to use professionally trained dogs to detec</w:t>
      </w:r>
      <w:r>
        <w:rPr>
          <w:rFonts w:ascii="Lato" w:eastAsia="Times New Roman" w:hAnsi="Lato"/>
        </w:rPr>
        <w:t xml:space="preserve">t the presence of drugs on district property. A drug-detection dog alerting to the presence of drugs will constitute reasonable suspicion for district administrators to conduct a search. Drug-detection dogs will not come into direct contact with students. </w:t>
      </w:r>
      <w:r>
        <w:rPr>
          <w:rFonts w:ascii="Lato" w:eastAsia="Times New Roman" w:hAnsi="Lato"/>
        </w:rPr>
        <w:t xml:space="preserve">The superintendent or designee shall develop procedures for the use of drug-detection dogs. </w:t>
      </w:r>
    </w:p>
    <w:p w:rsidR="00000000" w:rsidRDefault="00A62CA0">
      <w:pPr>
        <w:pStyle w:val="Heading3"/>
        <w:divId w:val="27998657"/>
        <w:rPr>
          <w:rFonts w:ascii="Lato" w:eastAsia="Times New Roman" w:hAnsi="Lato"/>
        </w:rPr>
      </w:pPr>
      <w:r>
        <w:rPr>
          <w:rFonts w:ascii="Lato" w:eastAsia="Times New Roman" w:hAnsi="Lato"/>
        </w:rPr>
        <w:t>Student Drug and Alcohol Testing</w:t>
      </w:r>
    </w:p>
    <w:p w:rsidR="00000000" w:rsidRDefault="00A62CA0">
      <w:pPr>
        <w:divId w:val="27998657"/>
        <w:rPr>
          <w:rFonts w:ascii="Lato" w:eastAsia="Times New Roman" w:hAnsi="Lato"/>
        </w:rPr>
      </w:pPr>
      <w:r>
        <w:rPr>
          <w:rFonts w:ascii="Lato" w:eastAsia="Times New Roman" w:hAnsi="Lato"/>
        </w:rPr>
        <w:br/>
        <w:t>If district personnel have reasonable suspicion that a student is under the influence of drugs or alcohol, the district may requi</w:t>
      </w:r>
      <w:r>
        <w:rPr>
          <w:rFonts w:ascii="Lato" w:eastAsia="Times New Roman" w:hAnsi="Lato"/>
        </w:rPr>
        <w:t xml:space="preserve">re the student to take a drug or alcohol test. Students who refuse to participate in drug or alcohol testing </w:t>
      </w:r>
      <w:proofErr w:type="gramStart"/>
      <w:r>
        <w:rPr>
          <w:rFonts w:ascii="Lato" w:eastAsia="Times New Roman" w:hAnsi="Lato"/>
        </w:rPr>
        <w:t>may be disciplined</w:t>
      </w:r>
      <w:proofErr w:type="gramEnd"/>
      <w:r>
        <w:rPr>
          <w:rFonts w:ascii="Lato" w:eastAsia="Times New Roman" w:hAnsi="Lato"/>
        </w:rPr>
        <w:t xml:space="preserve"> as if they tested positive for the substance. Drug and alcohol testing are not a necessary or exclusive means of determining fro</w:t>
      </w:r>
      <w:r>
        <w:rPr>
          <w:rFonts w:ascii="Lato" w:eastAsia="Times New Roman" w:hAnsi="Lato"/>
        </w:rPr>
        <w:t>m the available evidence that a violation of district policy has occurred.</w:t>
      </w:r>
      <w:r>
        <w:rPr>
          <w:rFonts w:ascii="Lato" w:eastAsia="Times New Roman" w:hAnsi="Lato"/>
        </w:rPr>
        <w:br/>
      </w:r>
      <w:r>
        <w:rPr>
          <w:rFonts w:ascii="Lato" w:eastAsia="Times New Roman" w:hAnsi="Lato"/>
        </w:rPr>
        <w:br/>
        <w:t xml:space="preserve">In accordance with law, the district may implement a random student drug-testing program for students in extracurricular activities. </w:t>
      </w:r>
    </w:p>
    <w:p w:rsidR="00000000" w:rsidRDefault="00A62CA0">
      <w:pPr>
        <w:pStyle w:val="Heading3"/>
        <w:divId w:val="27998657"/>
        <w:rPr>
          <w:rFonts w:ascii="Lato" w:eastAsia="Times New Roman" w:hAnsi="Lato"/>
        </w:rPr>
      </w:pPr>
      <w:r>
        <w:rPr>
          <w:rFonts w:ascii="Lato" w:eastAsia="Times New Roman" w:hAnsi="Lato"/>
        </w:rPr>
        <w:t>School Resource Officers</w:t>
      </w:r>
    </w:p>
    <w:p w:rsidR="00000000" w:rsidRDefault="00A62CA0">
      <w:pPr>
        <w:divId w:val="27998657"/>
        <w:rPr>
          <w:rFonts w:ascii="Lato" w:eastAsia="Times New Roman" w:hAnsi="Lato"/>
        </w:rPr>
      </w:pPr>
      <w:r>
        <w:rPr>
          <w:rFonts w:ascii="Lato" w:eastAsia="Times New Roman" w:hAnsi="Lato"/>
        </w:rPr>
        <w:br/>
        <w:t>A school resource of</w:t>
      </w:r>
      <w:r>
        <w:rPr>
          <w:rFonts w:ascii="Lato" w:eastAsia="Times New Roman" w:hAnsi="Lato"/>
        </w:rPr>
        <w:t>ficer (SRO) may accompany district officials executing a search or may perform searches under the direction of district officials based on the reasonable suspicion standard. However, the SRO may choose not to participate in the search if the SRO believes t</w:t>
      </w:r>
      <w:r>
        <w:rPr>
          <w:rFonts w:ascii="Lato" w:eastAsia="Times New Roman" w:hAnsi="Lato"/>
        </w:rPr>
        <w:t>hat such participation might interfere with the successful future criminal prosecution of the student.</w:t>
      </w:r>
      <w:r>
        <w:rPr>
          <w:rFonts w:ascii="Lato" w:eastAsia="Times New Roman" w:hAnsi="Lato"/>
        </w:rPr>
        <w:br/>
      </w:r>
      <w:r>
        <w:rPr>
          <w:rFonts w:ascii="Lato" w:eastAsia="Times New Roman" w:hAnsi="Lato"/>
        </w:rPr>
        <w:br/>
      </w:r>
      <w:r>
        <w:rPr>
          <w:rFonts w:ascii="Lato" w:eastAsia="Times New Roman" w:hAnsi="Lato"/>
          <w:sz w:val="17"/>
          <w:szCs w:val="17"/>
        </w:rPr>
        <w:t>© 2023, Missouri School Boards' Association</w:t>
      </w:r>
      <w:r>
        <w:rPr>
          <w:rFonts w:ascii="Lato" w:eastAsia="Times New Roman" w:hAnsi="Lato"/>
          <w:sz w:val="17"/>
          <w:szCs w:val="17"/>
        </w:rPr>
        <w:br/>
        <w:t>Version JFG-C.1L (11/23)</w:t>
      </w:r>
      <w:r>
        <w:rPr>
          <w:rFonts w:ascii="Lato" w:eastAsia="Times New Roman" w:hAnsi="Lato"/>
        </w:rPr>
        <w:t xml:space="preserve"> </w:t>
      </w:r>
    </w:p>
    <w:p w:rsidR="00260C31" w:rsidRDefault="00260C31">
      <w:pPr>
        <w:pBdr>
          <w:bottom w:val="single" w:sz="5" w:space="1" w:color="auto"/>
        </w:pBdr>
      </w:pPr>
    </w:p>
    <w:p w:rsidR="00000000" w:rsidRDefault="00A62CA0">
      <w:pPr>
        <w:divId w:val="1081214240"/>
        <w:rPr>
          <w:rFonts w:ascii="Lato" w:eastAsia="Times New Roman" w:hAnsi="Lato"/>
        </w:rPr>
      </w:pPr>
      <w:r>
        <w:rPr>
          <w:rFonts w:ascii="Lato" w:eastAsia="Times New Roman" w:hAnsi="Lato"/>
        </w:rPr>
        <w:t> </w:t>
      </w:r>
    </w:p>
    <w:p w:rsidR="00000000" w:rsidRDefault="00A62CA0">
      <w:pPr>
        <w:pStyle w:val="Heading2"/>
        <w:shd w:val="clear" w:color="auto" w:fill="FFFFFF"/>
        <w:spacing w:before="0" w:beforeAutospacing="0" w:after="0" w:afterAutospacing="0"/>
        <w:textAlignment w:val="baseline"/>
        <w:divId w:val="1230771992"/>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A62CA0">
      <w:pPr>
        <w:divId w:val="1230771992"/>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260C31">
        <w:tblPrEx>
          <w:tblCellMar>
            <w:top w:w="0" w:type="dxa"/>
            <w:bottom w:w="0" w:type="dxa"/>
          </w:tblCellMar>
        </w:tblPrEx>
        <w:tc>
          <w:tcPr>
            <w:tcW w:w="4017" w:type="dxa"/>
          </w:tcPr>
          <w:p w:rsidR="00260C31" w:rsidRDefault="00A62CA0">
            <w:pPr>
              <w:spacing w:after="0"/>
            </w:pPr>
            <w:r>
              <w:rPr>
                <w:rFonts w:ascii="Lato Black"/>
                <w:b/>
              </w:rPr>
              <w:t>State</w:t>
            </w:r>
          </w:p>
        </w:tc>
        <w:tc>
          <w:tcPr>
            <w:tcW w:w="5961" w:type="dxa"/>
          </w:tcPr>
          <w:p w:rsidR="00260C31" w:rsidRDefault="00A62CA0">
            <w:pPr>
              <w:spacing w:after="0"/>
            </w:pPr>
            <w:r>
              <w:rPr>
                <w:rFonts w:ascii="Lato Black"/>
                <w:b/>
              </w:rPr>
              <w:t>Description</w:t>
            </w:r>
          </w:p>
        </w:tc>
      </w:tr>
      <w:tr w:rsidR="00260C31">
        <w:tblPrEx>
          <w:tblCellMar>
            <w:top w:w="0" w:type="dxa"/>
            <w:bottom w:w="0" w:type="dxa"/>
          </w:tblCellMar>
        </w:tblPrEx>
        <w:tc>
          <w:tcPr>
            <w:tcW w:w="4017" w:type="dxa"/>
          </w:tcPr>
          <w:p w:rsidR="00260C31" w:rsidRDefault="00A62CA0">
            <w:pPr>
              <w:spacing w:after="0"/>
            </w:pPr>
            <w:r>
              <w:rPr>
                <w:rFonts w:ascii="Lato"/>
              </w:rPr>
              <w:t>§</w:t>
            </w:r>
            <w:r>
              <w:rPr>
                <w:rFonts w:ascii="Lato"/>
              </w:rPr>
              <w:t xml:space="preserve"> 167.166, </w:t>
            </w:r>
            <w:proofErr w:type="spellStart"/>
            <w:r>
              <w:rPr>
                <w:rFonts w:ascii="Lato"/>
              </w:rPr>
              <w:t>RSMo</w:t>
            </w:r>
            <w:proofErr w:type="spellEnd"/>
            <w:r>
              <w:rPr>
                <w:rFonts w:ascii="Lato"/>
              </w:rPr>
              <w:t>.</w:t>
            </w:r>
          </w:p>
        </w:tc>
        <w:tc>
          <w:tcPr>
            <w:tcW w:w="5961" w:type="dxa"/>
          </w:tcPr>
          <w:p w:rsidR="00260C31" w:rsidRDefault="00A62CA0">
            <w:hyperlink r:id="rId4" w:docLocation="https://revisor.mo.gov/main/Home.aspx">
              <w:r>
                <w:rPr>
                  <w:rFonts w:ascii="Lato"/>
                  <w:color w:val="0563C1" w:themeColor="hyperlink"/>
                  <w:u w:val="single"/>
                </w:rPr>
                <w:t>State Statute</w:t>
              </w:r>
            </w:hyperlink>
          </w:p>
        </w:tc>
      </w:tr>
      <w:tr w:rsidR="00260C31">
        <w:tblPrEx>
          <w:tblCellMar>
            <w:top w:w="0" w:type="dxa"/>
            <w:bottom w:w="0" w:type="dxa"/>
          </w:tblCellMar>
        </w:tblPrEx>
        <w:tc>
          <w:tcPr>
            <w:tcW w:w="4017" w:type="dxa"/>
          </w:tcPr>
          <w:p w:rsidR="00260C31" w:rsidRDefault="00A62CA0">
            <w:pPr>
              <w:spacing w:after="0"/>
            </w:pPr>
            <w:r>
              <w:rPr>
                <w:rFonts w:ascii="Lato"/>
              </w:rPr>
              <w:t>§</w:t>
            </w:r>
            <w:r>
              <w:rPr>
                <w:rFonts w:ascii="Lato"/>
              </w:rPr>
              <w:t xml:space="preserve"> 210.145, </w:t>
            </w:r>
            <w:proofErr w:type="spellStart"/>
            <w:r>
              <w:rPr>
                <w:rFonts w:ascii="Lato"/>
              </w:rPr>
              <w:t>RSMo</w:t>
            </w:r>
            <w:proofErr w:type="spellEnd"/>
            <w:r>
              <w:rPr>
                <w:rFonts w:ascii="Lato"/>
              </w:rPr>
              <w:t>.</w:t>
            </w:r>
          </w:p>
        </w:tc>
        <w:tc>
          <w:tcPr>
            <w:tcW w:w="5961" w:type="dxa"/>
          </w:tcPr>
          <w:p w:rsidR="00260C31" w:rsidRDefault="00A62CA0">
            <w:hyperlink r:id="rId5" w:docLocation="https://revisor.mo.gov/main/Home.aspx">
              <w:r>
                <w:rPr>
                  <w:rFonts w:ascii="Lato"/>
                  <w:color w:val="0563C1" w:themeColor="hyperlink"/>
                  <w:u w:val="single"/>
                </w:rPr>
                <w:t>State Statute</w:t>
              </w:r>
            </w:hyperlink>
          </w:p>
        </w:tc>
      </w:tr>
      <w:tr w:rsidR="00260C31">
        <w:tblPrEx>
          <w:tblCellMar>
            <w:top w:w="0" w:type="dxa"/>
            <w:bottom w:w="0" w:type="dxa"/>
          </w:tblCellMar>
        </w:tblPrEx>
        <w:tc>
          <w:tcPr>
            <w:tcW w:w="4017" w:type="dxa"/>
          </w:tcPr>
          <w:p w:rsidR="00260C31" w:rsidRDefault="00A62CA0">
            <w:pPr>
              <w:spacing w:after="0"/>
            </w:pPr>
            <w:r>
              <w:rPr>
                <w:rFonts w:ascii="Lato"/>
              </w:rPr>
              <w:t>§</w:t>
            </w:r>
            <w:r>
              <w:rPr>
                <w:rFonts w:ascii="Lato"/>
              </w:rPr>
              <w:t xml:space="preserve"> 544.193, </w:t>
            </w:r>
            <w:proofErr w:type="spellStart"/>
            <w:r>
              <w:rPr>
                <w:rFonts w:ascii="Lato"/>
              </w:rPr>
              <w:t>RSMo</w:t>
            </w:r>
            <w:proofErr w:type="spellEnd"/>
            <w:r>
              <w:rPr>
                <w:rFonts w:ascii="Lato"/>
              </w:rPr>
              <w:t>.</w:t>
            </w:r>
          </w:p>
        </w:tc>
        <w:tc>
          <w:tcPr>
            <w:tcW w:w="5961" w:type="dxa"/>
          </w:tcPr>
          <w:p w:rsidR="00260C31" w:rsidRDefault="00A62CA0">
            <w:hyperlink r:id="rId6" w:docLocation="https://revisor.mo.gov/main/Home.aspx">
              <w:r>
                <w:rPr>
                  <w:rFonts w:ascii="Lato"/>
                  <w:color w:val="0563C1" w:themeColor="hyperlink"/>
                  <w:u w:val="single"/>
                </w:rPr>
                <w:t>State Statute</w:t>
              </w:r>
            </w:hyperlink>
          </w:p>
        </w:tc>
      </w:tr>
      <w:tr w:rsidR="00260C31">
        <w:tblPrEx>
          <w:tblCellMar>
            <w:top w:w="0" w:type="dxa"/>
            <w:bottom w:w="0" w:type="dxa"/>
          </w:tblCellMar>
        </w:tblPrEx>
        <w:tc>
          <w:tcPr>
            <w:tcW w:w="4017" w:type="dxa"/>
          </w:tcPr>
          <w:p w:rsidR="00260C31" w:rsidRDefault="00A62CA0">
            <w:pPr>
              <w:spacing w:after="0"/>
            </w:pPr>
            <w:r>
              <w:rPr>
                <w:rFonts w:ascii="Lato"/>
              </w:rPr>
              <w:t>MO COURT</w:t>
            </w:r>
          </w:p>
        </w:tc>
        <w:tc>
          <w:tcPr>
            <w:tcW w:w="5961" w:type="dxa"/>
          </w:tcPr>
          <w:p w:rsidR="00260C31" w:rsidRDefault="00A62CA0">
            <w:hyperlink r:id="rId7" w:docLocation="https://www.courts.mo.gov/">
              <w:proofErr w:type="spellStart"/>
              <w:r>
                <w:rPr>
                  <w:rFonts w:ascii="Lato"/>
                  <w:color w:val="0563C1" w:themeColor="hyperlink"/>
                  <w:u w:val="single"/>
                </w:rPr>
                <w:t>Burlisonv</w:t>
              </w:r>
              <w:proofErr w:type="spellEnd"/>
              <w:r>
                <w:rPr>
                  <w:rFonts w:ascii="Lato"/>
                  <w:color w:val="0563C1" w:themeColor="hyperlink"/>
                  <w:u w:val="single"/>
                </w:rPr>
                <w:t xml:space="preserve">. Springfield Pub. </w:t>
              </w:r>
              <w:proofErr w:type="spellStart"/>
              <w:r>
                <w:rPr>
                  <w:rFonts w:ascii="Lato"/>
                  <w:color w:val="0563C1" w:themeColor="hyperlink"/>
                  <w:u w:val="single"/>
                </w:rPr>
                <w:t>Schs</w:t>
              </w:r>
              <w:proofErr w:type="spellEnd"/>
              <w:r>
                <w:rPr>
                  <w:rFonts w:ascii="Lato"/>
                  <w:color w:val="0563C1" w:themeColor="hyperlink"/>
                  <w:u w:val="single"/>
                </w:rPr>
                <w:t xml:space="preserve">., 708 F3d 1034 </w:t>
              </w:r>
              <w:r>
                <w:rPr>
                  <w:rFonts w:ascii="Lato"/>
                  <w:color w:val="0563C1" w:themeColor="hyperlink"/>
                  <w:u w:val="single"/>
                </w:rPr>
                <w:t>(2013)</w:t>
              </w:r>
            </w:hyperlink>
          </w:p>
        </w:tc>
      </w:tr>
      <w:tr w:rsidR="00260C31">
        <w:tblPrEx>
          <w:tblCellMar>
            <w:top w:w="0" w:type="dxa"/>
            <w:bottom w:w="0" w:type="dxa"/>
          </w:tblCellMar>
        </w:tblPrEx>
        <w:tc>
          <w:tcPr>
            <w:tcW w:w="4017" w:type="dxa"/>
          </w:tcPr>
          <w:p w:rsidR="00260C31" w:rsidRDefault="00A62CA0">
            <w:pPr>
              <w:spacing w:after="0"/>
            </w:pPr>
            <w:r>
              <w:rPr>
                <w:rFonts w:ascii="Lato"/>
              </w:rPr>
              <w:t xml:space="preserve">Mo. Const. art. XIV </w:t>
            </w:r>
            <w:r>
              <w:rPr>
                <w:rFonts w:ascii="Lato"/>
              </w:rPr>
              <w:t>§§</w:t>
            </w:r>
            <w:r>
              <w:rPr>
                <w:rFonts w:ascii="Lato"/>
              </w:rPr>
              <w:t xml:space="preserve"> 1-2</w:t>
            </w:r>
          </w:p>
        </w:tc>
        <w:tc>
          <w:tcPr>
            <w:tcW w:w="5961" w:type="dxa"/>
          </w:tcPr>
          <w:p w:rsidR="00260C31" w:rsidRDefault="00A62CA0">
            <w:hyperlink r:id="rId8" w:docLocation="https://revisor.mo.gov/main/Home.aspx">
              <w:r>
                <w:rPr>
                  <w:rFonts w:ascii="Lato"/>
                  <w:color w:val="0563C1" w:themeColor="hyperlink"/>
                  <w:u w:val="single"/>
                </w:rPr>
                <w:t>State Statute</w:t>
              </w:r>
            </w:hyperlink>
          </w:p>
        </w:tc>
      </w:tr>
      <w:tr w:rsidR="00260C31">
        <w:tblPrEx>
          <w:tblCellMar>
            <w:top w:w="0" w:type="dxa"/>
            <w:bottom w:w="0" w:type="dxa"/>
          </w:tblCellMar>
        </w:tblPrEx>
        <w:tc>
          <w:tcPr>
            <w:tcW w:w="4017" w:type="dxa"/>
          </w:tcPr>
          <w:p w:rsidR="00260C31" w:rsidRDefault="00A62CA0">
            <w:pPr>
              <w:spacing w:after="0"/>
            </w:pPr>
            <w:r>
              <w:rPr>
                <w:rFonts w:ascii="Lato Black"/>
                <w:b/>
              </w:rPr>
              <w:t>Federal</w:t>
            </w:r>
          </w:p>
        </w:tc>
        <w:tc>
          <w:tcPr>
            <w:tcW w:w="5961" w:type="dxa"/>
          </w:tcPr>
          <w:p w:rsidR="00260C31" w:rsidRDefault="00A62CA0">
            <w:pPr>
              <w:spacing w:after="0"/>
            </w:pPr>
            <w:r>
              <w:rPr>
                <w:rFonts w:ascii="Lato Black"/>
                <w:b/>
              </w:rPr>
              <w:t>Description</w:t>
            </w:r>
          </w:p>
        </w:tc>
      </w:tr>
      <w:tr w:rsidR="00260C31">
        <w:tblPrEx>
          <w:tblCellMar>
            <w:top w:w="0" w:type="dxa"/>
            <w:bottom w:w="0" w:type="dxa"/>
          </w:tblCellMar>
        </w:tblPrEx>
        <w:tc>
          <w:tcPr>
            <w:tcW w:w="4017" w:type="dxa"/>
          </w:tcPr>
          <w:p w:rsidR="00260C31" w:rsidRDefault="00A62CA0">
            <w:pPr>
              <w:spacing w:after="0"/>
            </w:pPr>
            <w:r>
              <w:rPr>
                <w:rFonts w:ascii="Lato"/>
              </w:rPr>
              <w:t xml:space="preserve">21 U.S.C. </w:t>
            </w:r>
            <w:r>
              <w:rPr>
                <w:rFonts w:ascii="Lato"/>
              </w:rPr>
              <w:t>§§</w:t>
            </w:r>
            <w:r>
              <w:rPr>
                <w:rFonts w:ascii="Lato"/>
              </w:rPr>
              <w:t xml:space="preserve"> 841, 844, 860</w:t>
            </w:r>
          </w:p>
        </w:tc>
        <w:tc>
          <w:tcPr>
            <w:tcW w:w="5961" w:type="dxa"/>
          </w:tcPr>
          <w:p w:rsidR="00260C31" w:rsidRDefault="00A62CA0">
            <w:hyperlink r:id="rId9" w:docLocation="https://uscode.house.gov/">
              <w:r>
                <w:rPr>
                  <w:rFonts w:ascii="Lato"/>
                  <w:color w:val="0563C1" w:themeColor="hyperlink"/>
                  <w:u w:val="single"/>
                </w:rPr>
                <w:t>Federal Statute</w:t>
              </w:r>
            </w:hyperlink>
          </w:p>
        </w:tc>
      </w:tr>
      <w:tr w:rsidR="00260C31">
        <w:tblPrEx>
          <w:tblCellMar>
            <w:top w:w="0" w:type="dxa"/>
            <w:bottom w:w="0" w:type="dxa"/>
          </w:tblCellMar>
        </w:tblPrEx>
        <w:tc>
          <w:tcPr>
            <w:tcW w:w="4017" w:type="dxa"/>
          </w:tcPr>
          <w:p w:rsidR="00260C31" w:rsidRDefault="00A62CA0">
            <w:pPr>
              <w:spacing w:after="0"/>
            </w:pPr>
            <w:r>
              <w:rPr>
                <w:rFonts w:ascii="Lato"/>
              </w:rPr>
              <w:lastRenderedPageBreak/>
              <w:t>FEDERAL COURT</w:t>
            </w:r>
          </w:p>
        </w:tc>
        <w:tc>
          <w:tcPr>
            <w:tcW w:w="5961" w:type="dxa"/>
          </w:tcPr>
          <w:p w:rsidR="00260C31" w:rsidRDefault="00A62CA0">
            <w:hyperlink r:id="rId10" w:docLocation="http://www.findlaw.com/casecode/supreme.html">
              <w:r>
                <w:rPr>
                  <w:rFonts w:ascii="Lato"/>
                  <w:color w:val="0563C1" w:themeColor="hyperlink"/>
                  <w:u w:val="single"/>
                </w:rPr>
                <w:t>New Jersey vs. T.L.O., 469 U.S. 325 (1985)</w:t>
              </w:r>
            </w:hyperlink>
          </w:p>
        </w:tc>
      </w:tr>
      <w:tr w:rsidR="00260C31">
        <w:tblPrEx>
          <w:tblCellMar>
            <w:top w:w="0" w:type="dxa"/>
            <w:bottom w:w="0" w:type="dxa"/>
          </w:tblCellMar>
        </w:tblPrEx>
        <w:tc>
          <w:tcPr>
            <w:tcW w:w="4017" w:type="dxa"/>
          </w:tcPr>
          <w:p w:rsidR="00260C31" w:rsidRDefault="00A62CA0">
            <w:pPr>
              <w:spacing w:after="0"/>
            </w:pPr>
            <w:r>
              <w:rPr>
                <w:rFonts w:ascii="Lato"/>
              </w:rPr>
              <w:t>U.S. Const. amend. IV</w:t>
            </w:r>
          </w:p>
        </w:tc>
        <w:tc>
          <w:tcPr>
            <w:tcW w:w="5961" w:type="dxa"/>
          </w:tcPr>
          <w:p w:rsidR="00260C31" w:rsidRDefault="00A62CA0">
            <w:hyperlink r:id="rId11" w:docLocation="http://www.law.cornell.edu/constitution">
              <w:r>
                <w:rPr>
                  <w:rFonts w:ascii="Lato"/>
                  <w:color w:val="0563C1" w:themeColor="hyperlink"/>
                  <w:u w:val="single"/>
                </w:rPr>
                <w:t>U.S. Constitution</w:t>
              </w:r>
            </w:hyperlink>
          </w:p>
        </w:tc>
      </w:tr>
    </w:tbl>
    <w:p w:rsidR="00000000" w:rsidRDefault="00A62CA0">
      <w:pPr>
        <w:shd w:val="clear" w:color="auto" w:fill="F9F9F9"/>
        <w:spacing w:line="480" w:lineRule="auto"/>
        <w:divId w:val="348410898"/>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260C31">
        <w:tblPrEx>
          <w:tblCellMar>
            <w:top w:w="0" w:type="dxa"/>
            <w:bottom w:w="0" w:type="dxa"/>
          </w:tblCellMar>
        </w:tblPrEx>
        <w:tc>
          <w:tcPr>
            <w:tcW w:w="4017" w:type="dxa"/>
          </w:tcPr>
          <w:p w:rsidR="00260C31" w:rsidRDefault="00A62CA0">
            <w:pPr>
              <w:spacing w:after="0"/>
            </w:pPr>
            <w:r>
              <w:rPr>
                <w:rFonts w:ascii="Lato Black"/>
                <w:b/>
              </w:rPr>
              <w:t>Code</w:t>
            </w:r>
          </w:p>
        </w:tc>
        <w:tc>
          <w:tcPr>
            <w:tcW w:w="5961" w:type="dxa"/>
          </w:tcPr>
          <w:p w:rsidR="00260C31" w:rsidRDefault="00A62CA0">
            <w:pPr>
              <w:spacing w:after="0"/>
            </w:pPr>
            <w:r>
              <w:rPr>
                <w:rFonts w:ascii="Lato Black"/>
                <w:b/>
              </w:rPr>
              <w:t>Description</w:t>
            </w:r>
          </w:p>
        </w:tc>
      </w:tr>
      <w:tr w:rsidR="00260C31">
        <w:tblPrEx>
          <w:tblCellMar>
            <w:top w:w="0" w:type="dxa"/>
            <w:bottom w:w="0" w:type="dxa"/>
          </w:tblCellMar>
        </w:tblPrEx>
        <w:tc>
          <w:tcPr>
            <w:tcW w:w="4017" w:type="dxa"/>
          </w:tcPr>
          <w:p w:rsidR="00260C31" w:rsidRDefault="00A62CA0">
            <w:pPr>
              <w:spacing w:after="0"/>
            </w:pPr>
            <w:r>
              <w:rPr>
                <w:rFonts w:ascii="Lato"/>
              </w:rPr>
              <w:t>ECD</w:t>
            </w:r>
          </w:p>
        </w:tc>
        <w:tc>
          <w:tcPr>
            <w:tcW w:w="5961" w:type="dxa"/>
          </w:tcPr>
          <w:p w:rsidR="00260C31" w:rsidRDefault="00A62CA0">
            <w:hyperlink r:id="rId12" w:docLocation="https://simbli.eboardsolutions.com/Policy/ViewPolicy.aspx?S=36031111&amp;revid=Al5VHUCslshInjH8KFEtygEaw==">
              <w:r>
                <w:rPr>
                  <w:rFonts w:ascii="Lato"/>
                  <w:color w:val="0563C1" w:themeColor="hyperlink"/>
                  <w:u w:val="single"/>
                </w:rPr>
                <w:t>TRAFFIC AND PARKING CONTROLS</w:t>
              </w:r>
            </w:hyperlink>
          </w:p>
        </w:tc>
      </w:tr>
      <w:tr w:rsidR="00260C31">
        <w:tblPrEx>
          <w:tblCellMar>
            <w:top w:w="0" w:type="dxa"/>
            <w:bottom w:w="0" w:type="dxa"/>
          </w:tblCellMar>
        </w:tblPrEx>
        <w:tc>
          <w:tcPr>
            <w:tcW w:w="4017" w:type="dxa"/>
          </w:tcPr>
          <w:p w:rsidR="00260C31" w:rsidRDefault="00A62CA0">
            <w:pPr>
              <w:spacing w:after="0"/>
            </w:pPr>
            <w:r>
              <w:rPr>
                <w:rFonts w:ascii="Lato"/>
              </w:rPr>
              <w:t>ECG</w:t>
            </w:r>
          </w:p>
        </w:tc>
        <w:tc>
          <w:tcPr>
            <w:tcW w:w="5961" w:type="dxa"/>
          </w:tcPr>
          <w:p w:rsidR="00260C31" w:rsidRDefault="00A62CA0">
            <w:hyperlink r:id="rId13" w:docLocation="https://simbli.eboardsolutions.com/Policy/ViewPolicy.aspx?S=36031111&amp;revid=l36CfslshTLBPXQxQYGBs5qpw==">
              <w:r>
                <w:rPr>
                  <w:rFonts w:ascii="Lato"/>
                  <w:color w:val="0563C1" w:themeColor="hyperlink"/>
                  <w:u w:val="single"/>
                </w:rPr>
                <w:t xml:space="preserve">ANIMALS ON DISTRICT </w:t>
              </w:r>
              <w:r>
                <w:rPr>
                  <w:rFonts w:ascii="Lato"/>
                  <w:color w:val="0563C1" w:themeColor="hyperlink"/>
                  <w:u w:val="single"/>
                </w:rPr>
                <w:t>PROPERTY</w:t>
              </w:r>
            </w:hyperlink>
          </w:p>
        </w:tc>
      </w:tr>
      <w:tr w:rsidR="00260C31">
        <w:tblPrEx>
          <w:tblCellMar>
            <w:top w:w="0" w:type="dxa"/>
            <w:bottom w:w="0" w:type="dxa"/>
          </w:tblCellMar>
        </w:tblPrEx>
        <w:tc>
          <w:tcPr>
            <w:tcW w:w="4017" w:type="dxa"/>
          </w:tcPr>
          <w:p w:rsidR="00260C31" w:rsidRDefault="00A62CA0">
            <w:pPr>
              <w:spacing w:after="0"/>
            </w:pPr>
            <w:r>
              <w:rPr>
                <w:rFonts w:ascii="Lato"/>
              </w:rPr>
              <w:t>EHB</w:t>
            </w:r>
          </w:p>
        </w:tc>
        <w:tc>
          <w:tcPr>
            <w:tcW w:w="5961" w:type="dxa"/>
          </w:tcPr>
          <w:p w:rsidR="00260C31" w:rsidRDefault="00A62CA0">
            <w:hyperlink r:id="rId14" w:docLocation="https://simbli.eboardsolutions.com/Policy/ViewPolicy.aspx?S=36031111&amp;revid=z9Y3p42DCdHgslshIGTB6nn8Q==">
              <w:r>
                <w:rPr>
                  <w:rFonts w:ascii="Lato"/>
                  <w:color w:val="0563C1" w:themeColor="hyperlink"/>
                  <w:u w:val="single"/>
                </w:rPr>
                <w:t>TECHNOLOGY U</w:t>
              </w:r>
              <w:r>
                <w:rPr>
                  <w:rFonts w:ascii="Lato"/>
                  <w:color w:val="0563C1" w:themeColor="hyperlink"/>
                  <w:u w:val="single"/>
                </w:rPr>
                <w:t>SAGE</w:t>
              </w:r>
            </w:hyperlink>
          </w:p>
        </w:tc>
      </w:tr>
      <w:tr w:rsidR="00260C31">
        <w:tblPrEx>
          <w:tblCellMar>
            <w:top w:w="0" w:type="dxa"/>
            <w:bottom w:w="0" w:type="dxa"/>
          </w:tblCellMar>
        </w:tblPrEx>
        <w:tc>
          <w:tcPr>
            <w:tcW w:w="4017" w:type="dxa"/>
          </w:tcPr>
          <w:p w:rsidR="00260C31" w:rsidRDefault="00A62CA0">
            <w:pPr>
              <w:spacing w:after="0"/>
            </w:pPr>
            <w:r>
              <w:rPr>
                <w:rFonts w:ascii="Lato"/>
              </w:rPr>
              <w:t>EHB-AP(1)</w:t>
            </w:r>
          </w:p>
        </w:tc>
        <w:tc>
          <w:tcPr>
            <w:tcW w:w="5961" w:type="dxa"/>
          </w:tcPr>
          <w:p w:rsidR="00260C31" w:rsidRDefault="00A62CA0">
            <w:hyperlink r:id="rId15" w:docLocation="https://simbli.eboardsolutions.com/Policy/ViewPolicy.aspx?S=36031111&amp;revid=fcETcJoBNCY5KVV9vIFG9g==">
              <w:r>
                <w:rPr>
                  <w:rFonts w:ascii="Lato"/>
                  <w:color w:val="0563C1" w:themeColor="hyperlink"/>
                  <w:u w:val="single"/>
                </w:rPr>
                <w:t>TECHNOLOGY USAGE</w:t>
              </w:r>
              <w:r>
                <w:rPr>
                  <w:rFonts w:ascii="Lato"/>
                  <w:color w:val="0563C1" w:themeColor="hyperlink"/>
                  <w:u w:val="single"/>
                </w:rPr>
                <w:t xml:space="preserve"> - (Technology Safety)</w:t>
              </w:r>
            </w:hyperlink>
          </w:p>
        </w:tc>
      </w:tr>
      <w:tr w:rsidR="00260C31">
        <w:tblPrEx>
          <w:tblCellMar>
            <w:top w:w="0" w:type="dxa"/>
            <w:bottom w:w="0" w:type="dxa"/>
          </w:tblCellMar>
        </w:tblPrEx>
        <w:tc>
          <w:tcPr>
            <w:tcW w:w="4017" w:type="dxa"/>
          </w:tcPr>
          <w:p w:rsidR="00260C31" w:rsidRDefault="00A62CA0">
            <w:pPr>
              <w:spacing w:after="0"/>
            </w:pPr>
            <w:r>
              <w:rPr>
                <w:rFonts w:ascii="Lato"/>
              </w:rPr>
              <w:t>EHB-AP(2)</w:t>
            </w:r>
          </w:p>
        </w:tc>
        <w:tc>
          <w:tcPr>
            <w:tcW w:w="5961" w:type="dxa"/>
          </w:tcPr>
          <w:p w:rsidR="00260C31" w:rsidRDefault="00A62CA0">
            <w:hyperlink r:id="rId16" w:docLocation="https://simbli.eboardsolutions.com/Policy/ViewPolicy.aspx?S=36031111&amp;revid=d76CIwc7slshhSjd0gATslshFb9g==">
              <w:r>
                <w:rPr>
                  <w:rFonts w:ascii="Lato"/>
                  <w:color w:val="0563C1" w:themeColor="hyperlink"/>
                  <w:u w:val="single"/>
                </w:rPr>
                <w:t>TECHNOLOGY USAGE - (Ac</w:t>
              </w:r>
              <w:r>
                <w:rPr>
                  <w:rFonts w:ascii="Lato"/>
                  <w:color w:val="0563C1" w:themeColor="hyperlink"/>
                  <w:u w:val="single"/>
                </w:rPr>
                <w:t>cess to Blocked or Filtered Content)</w:t>
              </w:r>
            </w:hyperlink>
          </w:p>
        </w:tc>
      </w:tr>
      <w:tr w:rsidR="00260C31">
        <w:tblPrEx>
          <w:tblCellMar>
            <w:top w:w="0" w:type="dxa"/>
            <w:bottom w:w="0" w:type="dxa"/>
          </w:tblCellMar>
        </w:tblPrEx>
        <w:tc>
          <w:tcPr>
            <w:tcW w:w="4017" w:type="dxa"/>
          </w:tcPr>
          <w:p w:rsidR="00260C31" w:rsidRDefault="00A62CA0">
            <w:pPr>
              <w:spacing w:after="0"/>
            </w:pPr>
            <w:r>
              <w:rPr>
                <w:rFonts w:ascii="Lato"/>
              </w:rPr>
              <w:t>EHB-AF(1)</w:t>
            </w:r>
          </w:p>
        </w:tc>
        <w:tc>
          <w:tcPr>
            <w:tcW w:w="5961" w:type="dxa"/>
          </w:tcPr>
          <w:p w:rsidR="00260C31" w:rsidRDefault="00A62CA0">
            <w:hyperlink r:id="rId17" w:docLocation="https://simbli.eboardsolutions.com/Policy/ViewPolicy.aspx?S=36031111&amp;revid=81HJbplussWfp9nuyut8X7B6w==">
              <w:r>
                <w:rPr>
                  <w:rFonts w:ascii="Lato"/>
                  <w:color w:val="0563C1" w:themeColor="hyperlink"/>
                  <w:u w:val="single"/>
                </w:rPr>
                <w:t>TECHNOLOGY USAGE - (Parent/Guardian Technology Agreement)</w:t>
              </w:r>
            </w:hyperlink>
          </w:p>
        </w:tc>
      </w:tr>
      <w:tr w:rsidR="00260C31">
        <w:tblPrEx>
          <w:tblCellMar>
            <w:top w:w="0" w:type="dxa"/>
            <w:bottom w:w="0" w:type="dxa"/>
          </w:tblCellMar>
        </w:tblPrEx>
        <w:tc>
          <w:tcPr>
            <w:tcW w:w="4017" w:type="dxa"/>
          </w:tcPr>
          <w:p w:rsidR="00260C31" w:rsidRDefault="00A62CA0">
            <w:pPr>
              <w:spacing w:after="0"/>
            </w:pPr>
            <w:r>
              <w:rPr>
                <w:rFonts w:ascii="Lato"/>
              </w:rPr>
              <w:t>EHB-AF(2)</w:t>
            </w:r>
          </w:p>
        </w:tc>
        <w:tc>
          <w:tcPr>
            <w:tcW w:w="5961" w:type="dxa"/>
          </w:tcPr>
          <w:p w:rsidR="00260C31" w:rsidRDefault="00A62CA0">
            <w:hyperlink r:id="rId18" w:docLocation="https://simbli.eboardsolutions.com/Policy/ViewPolicy.aspx?S=36031111&amp;revid=vRlq7nup2tbxwTTRntPB7A==">
              <w:r>
                <w:rPr>
                  <w:rFonts w:ascii="Lato"/>
                  <w:color w:val="0563C1" w:themeColor="hyperlink"/>
                  <w:u w:val="single"/>
                </w:rPr>
                <w:t>TECHNOLOGY USAGE - (Student User Agreement)</w:t>
              </w:r>
            </w:hyperlink>
          </w:p>
        </w:tc>
      </w:tr>
      <w:tr w:rsidR="00260C31">
        <w:tblPrEx>
          <w:tblCellMar>
            <w:top w:w="0" w:type="dxa"/>
            <w:bottom w:w="0" w:type="dxa"/>
          </w:tblCellMar>
        </w:tblPrEx>
        <w:tc>
          <w:tcPr>
            <w:tcW w:w="4017" w:type="dxa"/>
          </w:tcPr>
          <w:p w:rsidR="00260C31" w:rsidRDefault="00A62CA0">
            <w:pPr>
              <w:spacing w:after="0"/>
            </w:pPr>
            <w:r>
              <w:rPr>
                <w:rFonts w:ascii="Lato"/>
              </w:rPr>
              <w:t>EHB-AF(3)</w:t>
            </w:r>
          </w:p>
        </w:tc>
        <w:tc>
          <w:tcPr>
            <w:tcW w:w="5961" w:type="dxa"/>
          </w:tcPr>
          <w:p w:rsidR="00260C31" w:rsidRDefault="00A62CA0">
            <w:hyperlink r:id="rId19" w:docLocation="https://simbli.eboardsolutions.com/Policy/ViewPolicy.aspx?S=36031111&amp;revid=vSBFBDeUbBrUF0ZsMjXztg==">
              <w:r>
                <w:rPr>
                  <w:rFonts w:ascii="Lato"/>
                  <w:color w:val="0563C1" w:themeColor="hyperlink"/>
                  <w:u w:val="single"/>
                </w:rPr>
                <w:t>TECHNOLOGY USAGE - (Employee Technology Agreement)</w:t>
              </w:r>
            </w:hyperlink>
          </w:p>
        </w:tc>
      </w:tr>
      <w:tr w:rsidR="00260C31">
        <w:tblPrEx>
          <w:tblCellMar>
            <w:top w:w="0" w:type="dxa"/>
            <w:bottom w:w="0" w:type="dxa"/>
          </w:tblCellMar>
        </w:tblPrEx>
        <w:tc>
          <w:tcPr>
            <w:tcW w:w="4017" w:type="dxa"/>
          </w:tcPr>
          <w:p w:rsidR="00260C31" w:rsidRDefault="00A62CA0">
            <w:pPr>
              <w:spacing w:after="0"/>
            </w:pPr>
            <w:r>
              <w:rPr>
                <w:rFonts w:ascii="Lato"/>
              </w:rPr>
              <w:t>EHB-AF(4)</w:t>
            </w:r>
          </w:p>
        </w:tc>
        <w:tc>
          <w:tcPr>
            <w:tcW w:w="5961" w:type="dxa"/>
          </w:tcPr>
          <w:p w:rsidR="00260C31" w:rsidRDefault="00A62CA0">
            <w:hyperlink r:id="rId20" w:docLocation="https://simbli.eboardsolutions.com/Policy/ViewPolicy.aspx?S=36031111&amp;revid=Qb9sjmkQ06n8YyplusBslshEG8hg==">
              <w:r>
                <w:rPr>
                  <w:rFonts w:ascii="Lato"/>
                  <w:color w:val="0563C1" w:themeColor="hyperlink"/>
                  <w:u w:val="single"/>
                </w:rPr>
                <w:t>TECHNOLOGY USAGE - (External User Technology Agreement)</w:t>
              </w:r>
            </w:hyperlink>
          </w:p>
        </w:tc>
      </w:tr>
      <w:tr w:rsidR="00260C31">
        <w:tblPrEx>
          <w:tblCellMar>
            <w:top w:w="0" w:type="dxa"/>
            <w:bottom w:w="0" w:type="dxa"/>
          </w:tblCellMar>
        </w:tblPrEx>
        <w:tc>
          <w:tcPr>
            <w:tcW w:w="4017" w:type="dxa"/>
          </w:tcPr>
          <w:p w:rsidR="00260C31" w:rsidRDefault="00A62CA0">
            <w:pPr>
              <w:spacing w:after="0"/>
            </w:pPr>
            <w:r>
              <w:rPr>
                <w:rFonts w:ascii="Lato"/>
              </w:rPr>
              <w:t>GBCB</w:t>
            </w:r>
          </w:p>
        </w:tc>
        <w:tc>
          <w:tcPr>
            <w:tcW w:w="5961" w:type="dxa"/>
          </w:tcPr>
          <w:p w:rsidR="00260C31" w:rsidRDefault="00A62CA0">
            <w:hyperlink r:id="rId21" w:docLocation="https://simbli.eboardsolutions.com/Policy/ViewPolicy.aspx?S=36031111&amp;revid=O3WWcMKqDEXg42022UHplusAw==">
              <w:r>
                <w:rPr>
                  <w:rFonts w:ascii="Lato"/>
                  <w:color w:val="0563C1" w:themeColor="hyperlink"/>
                  <w:u w:val="single"/>
                </w:rPr>
                <w:t>STAFF CONDUCT</w:t>
              </w:r>
            </w:hyperlink>
          </w:p>
        </w:tc>
      </w:tr>
      <w:tr w:rsidR="00260C31">
        <w:tblPrEx>
          <w:tblCellMar>
            <w:top w:w="0" w:type="dxa"/>
            <w:bottom w:w="0" w:type="dxa"/>
          </w:tblCellMar>
        </w:tblPrEx>
        <w:tc>
          <w:tcPr>
            <w:tcW w:w="4017" w:type="dxa"/>
          </w:tcPr>
          <w:p w:rsidR="00260C31" w:rsidRDefault="00A62CA0">
            <w:pPr>
              <w:spacing w:after="0"/>
            </w:pPr>
            <w:r>
              <w:rPr>
                <w:rFonts w:ascii="Lato"/>
              </w:rPr>
              <w:t>GCPD</w:t>
            </w:r>
          </w:p>
        </w:tc>
        <w:tc>
          <w:tcPr>
            <w:tcW w:w="5961" w:type="dxa"/>
          </w:tcPr>
          <w:p w:rsidR="00260C31" w:rsidRDefault="00A62CA0">
            <w:hyperlink r:id="rId22" w:docLocation="https://simbli.eboardsolutions.com/Policy/ViewPolicy.aspx?S=36031111&amp;revid=iATbmw47YxTlPTs1LV47cw==">
              <w:r>
                <w:rPr>
                  <w:rFonts w:ascii="Lato"/>
                  <w:color w:val="0563C1" w:themeColor="hyperlink"/>
                  <w:u w:val="single"/>
                </w:rPr>
                <w:t>SUSPENSION OF PROFESSIONAL STAFF MEMBERS</w:t>
              </w:r>
            </w:hyperlink>
          </w:p>
        </w:tc>
      </w:tr>
      <w:tr w:rsidR="00260C31">
        <w:tblPrEx>
          <w:tblCellMar>
            <w:top w:w="0" w:type="dxa"/>
            <w:bottom w:w="0" w:type="dxa"/>
          </w:tblCellMar>
        </w:tblPrEx>
        <w:tc>
          <w:tcPr>
            <w:tcW w:w="4017" w:type="dxa"/>
          </w:tcPr>
          <w:p w:rsidR="00260C31" w:rsidRDefault="00A62CA0">
            <w:pPr>
              <w:spacing w:after="0"/>
            </w:pPr>
            <w:r>
              <w:rPr>
                <w:rFonts w:ascii="Lato"/>
              </w:rPr>
              <w:t>GDPD</w:t>
            </w:r>
          </w:p>
        </w:tc>
        <w:tc>
          <w:tcPr>
            <w:tcW w:w="5961" w:type="dxa"/>
          </w:tcPr>
          <w:p w:rsidR="00260C31" w:rsidRDefault="00A62CA0">
            <w:hyperlink r:id="rId23" w:docLocation="https://simbli.eboardsolutions.com/Policy/ViewPolicy.aspx?S=36031111&amp;revid=VyEslshxBOzyh6cvKM4Ix1EAg==">
              <w:r>
                <w:rPr>
                  <w:rFonts w:ascii="Lato"/>
                  <w:color w:val="0563C1" w:themeColor="hyperlink"/>
                  <w:u w:val="single"/>
                </w:rPr>
                <w:t xml:space="preserve">SUSPENSION OF SUPPORT STAFF </w:t>
              </w:r>
              <w:r>
                <w:rPr>
                  <w:rFonts w:ascii="Lato"/>
                  <w:color w:val="0563C1" w:themeColor="hyperlink"/>
                  <w:u w:val="single"/>
                </w:rPr>
                <w:t>MEMBERS</w:t>
              </w:r>
            </w:hyperlink>
          </w:p>
        </w:tc>
      </w:tr>
      <w:tr w:rsidR="00260C31">
        <w:tblPrEx>
          <w:tblCellMar>
            <w:top w:w="0" w:type="dxa"/>
            <w:bottom w:w="0" w:type="dxa"/>
          </w:tblCellMar>
        </w:tblPrEx>
        <w:tc>
          <w:tcPr>
            <w:tcW w:w="4017" w:type="dxa"/>
          </w:tcPr>
          <w:p w:rsidR="00260C31" w:rsidRDefault="00A62CA0">
            <w:pPr>
              <w:spacing w:after="0"/>
            </w:pPr>
            <w:r>
              <w:rPr>
                <w:rFonts w:ascii="Lato"/>
              </w:rPr>
              <w:t>KNAJ</w:t>
            </w:r>
          </w:p>
        </w:tc>
        <w:tc>
          <w:tcPr>
            <w:tcW w:w="5961" w:type="dxa"/>
          </w:tcPr>
          <w:p w:rsidR="00260C31" w:rsidRDefault="00A62CA0">
            <w:hyperlink r:id="rId24" w:docLocation="https://simbli.eboardsolutions.com/Policy/ViewPolicy.aspx?S=36031111&amp;revid=AI6b3FJ6whICWHI7BslEFA==">
              <w:r>
                <w:rPr>
                  <w:rFonts w:ascii="Lato"/>
                  <w:color w:val="0563C1" w:themeColor="hyperlink"/>
                  <w:u w:val="single"/>
                </w:rPr>
                <w:t>RELATIONS WITH LAW</w:t>
              </w:r>
              <w:r>
                <w:rPr>
                  <w:rFonts w:ascii="Lato"/>
                  <w:color w:val="0563C1" w:themeColor="hyperlink"/>
                  <w:u w:val="single"/>
                </w:rPr>
                <w:t xml:space="preserve"> ENFORCEMENT AUTHORITIES</w:t>
              </w:r>
            </w:hyperlink>
          </w:p>
        </w:tc>
      </w:tr>
    </w:tbl>
    <w:p w:rsidR="00000000" w:rsidRDefault="00A62CA0"/>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C31"/>
    <w:rsid w:val="00260C31"/>
    <w:rsid w:val="00A62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43869"/>
  <w15:docId w15:val="{210D32BB-852D-4230-809D-840CB8EE7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98657">
      <w:bodyDiv w:val="1"/>
      <w:marLeft w:val="0"/>
      <w:marRight w:val="0"/>
      <w:marTop w:val="0"/>
      <w:marBottom w:val="0"/>
      <w:divBdr>
        <w:top w:val="none" w:sz="0" w:space="0" w:color="auto"/>
        <w:left w:val="none" w:sz="0" w:space="0" w:color="auto"/>
        <w:bottom w:val="none" w:sz="0" w:space="0" w:color="auto"/>
        <w:right w:val="none" w:sz="0" w:space="0" w:color="auto"/>
      </w:divBdr>
      <w:divsChild>
        <w:div w:id="1464695069">
          <w:marLeft w:val="0"/>
          <w:marRight w:val="0"/>
          <w:marTop w:val="0"/>
          <w:marBottom w:val="0"/>
          <w:divBdr>
            <w:top w:val="none" w:sz="0" w:space="0" w:color="auto"/>
            <w:left w:val="none" w:sz="0" w:space="0" w:color="auto"/>
            <w:bottom w:val="none" w:sz="0" w:space="0" w:color="auto"/>
            <w:right w:val="none" w:sz="0" w:space="0" w:color="auto"/>
          </w:divBdr>
        </w:div>
      </w:divsChild>
    </w:div>
    <w:div w:id="1230771992">
      <w:bodyDiv w:val="1"/>
      <w:marLeft w:val="0"/>
      <w:marRight w:val="0"/>
      <w:marTop w:val="0"/>
      <w:marBottom w:val="0"/>
      <w:divBdr>
        <w:top w:val="none" w:sz="0" w:space="0" w:color="auto"/>
        <w:left w:val="none" w:sz="0" w:space="0" w:color="auto"/>
        <w:bottom w:val="none" w:sz="0" w:space="0" w:color="auto"/>
        <w:right w:val="none" w:sz="0" w:space="0" w:color="auto"/>
      </w:divBdr>
      <w:divsChild>
        <w:div w:id="987711999">
          <w:marLeft w:val="0"/>
          <w:marRight w:val="0"/>
          <w:marTop w:val="0"/>
          <w:marBottom w:val="0"/>
          <w:divBdr>
            <w:top w:val="none" w:sz="0" w:space="0" w:color="auto"/>
            <w:left w:val="none" w:sz="0" w:space="0" w:color="auto"/>
            <w:bottom w:val="none" w:sz="0" w:space="0" w:color="auto"/>
            <w:right w:val="none" w:sz="0" w:space="0" w:color="auto"/>
          </w:divBdr>
          <w:divsChild>
            <w:div w:id="423964680">
              <w:marLeft w:val="0"/>
              <w:marRight w:val="0"/>
              <w:marTop w:val="0"/>
              <w:marBottom w:val="0"/>
              <w:divBdr>
                <w:top w:val="none" w:sz="0" w:space="0" w:color="auto"/>
                <w:left w:val="none" w:sz="0" w:space="0" w:color="auto"/>
                <w:bottom w:val="none" w:sz="0" w:space="0" w:color="auto"/>
                <w:right w:val="none" w:sz="0" w:space="0" w:color="auto"/>
              </w:divBdr>
              <w:divsChild>
                <w:div w:id="108121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760353">
      <w:bodyDiv w:val="1"/>
      <w:marLeft w:val="0"/>
      <w:marRight w:val="0"/>
      <w:marTop w:val="0"/>
      <w:marBottom w:val="0"/>
      <w:divBdr>
        <w:top w:val="none" w:sz="0" w:space="0" w:color="auto"/>
        <w:left w:val="none" w:sz="0" w:space="0" w:color="auto"/>
        <w:bottom w:val="none" w:sz="0" w:space="0" w:color="auto"/>
        <w:right w:val="none" w:sz="0" w:space="0" w:color="auto"/>
      </w:divBdr>
      <w:divsChild>
        <w:div w:id="348410898">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simbli.eboardsolutions.com/Policy/ViewPolicy.aspx?S=36031111&amp;revid=l36CfslshTLBPXQxQYGBs5qpw==" TargetMode="External"/><Relationship Id="rId18" Type="http://schemas.openxmlformats.org/officeDocument/2006/relationships/hyperlink" Target="https://simbli.eboardsolutions.com/Policy/ViewPolicy.aspx?S=36031111&amp;revid=vRlq7nup2tbxwTTRntPB7A=="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simbli.eboardsolutions.com/Policy/ViewPolicy.aspx?S=36031111&amp;revid=O3WWcMKqDEXg42022UHplusAw==" TargetMode="External"/><Relationship Id="rId7" Type="http://schemas.openxmlformats.org/officeDocument/2006/relationships/hyperlink" Target="https://www.courts.mo.gov/" TargetMode="External"/><Relationship Id="rId12" Type="http://schemas.openxmlformats.org/officeDocument/2006/relationships/hyperlink" Target="https://simbli.eboardsolutions.com/Policy/ViewPolicy.aspx?S=36031111&amp;revid=Al5VHUCslshInjH8KFEtygEaw==" TargetMode="External"/><Relationship Id="rId17" Type="http://schemas.openxmlformats.org/officeDocument/2006/relationships/hyperlink" Target="https://simbli.eboardsolutions.com/Policy/ViewPolicy.aspx?S=36031111&amp;revid=81HJbplussWfp9nuyut8X7B6w=="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simbli.eboardsolutions.com/Policy/ViewPolicy.aspx?S=36031111&amp;revid=d76CIwc7slshhSjd0gATslshFb9g==" TargetMode="External"/><Relationship Id="rId20" Type="http://schemas.openxmlformats.org/officeDocument/2006/relationships/hyperlink" Target="https://simbli.eboardsolutions.com/Policy/ViewPolicy.aspx?S=36031111&amp;revid=Qb9sjmkQ06n8YyplusBslshEG8hg==" TargetMode="External"/><Relationship Id="rId1" Type="http://schemas.openxmlformats.org/officeDocument/2006/relationships/styles" Target="styles.xml"/><Relationship Id="rId6" Type="http://schemas.openxmlformats.org/officeDocument/2006/relationships/hyperlink" Target="https://revisor.mo.gov/main/Home.aspx" TargetMode="External"/><Relationship Id="rId11" Type="http://schemas.openxmlformats.org/officeDocument/2006/relationships/hyperlink" Target="http://www.law.cornell.edu/constitution" TargetMode="External"/><Relationship Id="rId24" Type="http://schemas.openxmlformats.org/officeDocument/2006/relationships/hyperlink" Target="https://simbli.eboardsolutions.com/Policy/ViewPolicy.aspx?S=36031111&amp;revid=AI6b3FJ6whICWHI7BslEFA==" TargetMode="Externa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fcETcJoBNCY5KVV9vIFG9g==" TargetMode="External"/><Relationship Id="rId23" Type="http://schemas.openxmlformats.org/officeDocument/2006/relationships/hyperlink" Target="https://simbli.eboardsolutions.com/Policy/ViewPolicy.aspx?S=36031111&amp;revid=VyEslshxBOzyh6cvKM4Ix1EAg==" TargetMode="External"/><Relationship Id="rId10" Type="http://schemas.openxmlformats.org/officeDocument/2006/relationships/hyperlink" Target="http://www.findlaw.com/casecode/supreme.html" TargetMode="External"/><Relationship Id="rId19" Type="http://schemas.openxmlformats.org/officeDocument/2006/relationships/hyperlink" Target="https://simbli.eboardsolutions.com/Policy/ViewPolicy.aspx?S=36031111&amp;revid=vSBFBDeUbBrUF0ZsMjXztg==" TargetMode="External"/><Relationship Id="rId4" Type="http://schemas.openxmlformats.org/officeDocument/2006/relationships/hyperlink" Target="https://revisor.mo.gov/main/Home.aspx" TargetMode="External"/><Relationship Id="rId9" Type="http://schemas.openxmlformats.org/officeDocument/2006/relationships/hyperlink" Target="https://uscode.house.gov/" TargetMode="External"/><Relationship Id="rId14" Type="http://schemas.openxmlformats.org/officeDocument/2006/relationships/hyperlink" Target="https://simbli.eboardsolutions.com/Policy/ViewPolicy.aspx?S=36031111&amp;revid=z9Y3p42DCdHgslshIGTB6nn8Q==" TargetMode="External"/><Relationship Id="rId22" Type="http://schemas.openxmlformats.org/officeDocument/2006/relationships/hyperlink" Target="https://simbli.eboardsolutions.com/Policy/ViewPolicy.aspx?S=36031111&amp;revid=iATbmw47YxTlPTs1LV47c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1495</Words>
  <Characters>8525</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2024-12-31T22:42:00Z</dcterms:created>
  <dcterms:modified xsi:type="dcterms:W3CDTF">2024-12-31T22:42:00Z</dcterms:modified>
</cp:coreProperties>
</file>